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C63" w:rsidRPr="00015C63" w:rsidRDefault="00084922" w:rsidP="00015C63">
      <w:pPr>
        <w:spacing w:before="100" w:beforeAutospacing="1" w:after="100" w:afterAutospacing="1" w:line="240" w:lineRule="auto"/>
        <w:outlineLvl w:val="2"/>
        <w:rPr>
          <w:rFonts w:ascii="Arial" w:eastAsia="Times New Roman" w:hAnsi="Arial" w:cs="Arial"/>
          <w:b/>
          <w:bCs/>
          <w:sz w:val="28"/>
          <w:szCs w:val="28"/>
          <w:lang w:val="en-GB" w:eastAsia="fr-FR"/>
        </w:rPr>
      </w:pPr>
      <w:hyperlink r:id="rId7" w:anchor="p267" w:history="1">
        <w:r w:rsidR="00015C63" w:rsidRPr="00015C63">
          <w:rPr>
            <w:rFonts w:ascii="Arial" w:eastAsia="Times New Roman" w:hAnsi="Arial" w:cs="Arial"/>
            <w:b/>
            <w:bCs/>
            <w:color w:val="0000FF"/>
            <w:sz w:val="28"/>
            <w:szCs w:val="28"/>
            <w:u w:val="single"/>
            <w:lang w:val="en-GB" w:eastAsia="fr-FR"/>
          </w:rPr>
          <w:t>How THT does Phasing Analysis</w:t>
        </w:r>
      </w:hyperlink>
    </w:p>
    <w:p w:rsidR="00015C63" w:rsidRPr="00015C63" w:rsidRDefault="00015C63" w:rsidP="00015C63">
      <w:pPr>
        <w:spacing w:before="100" w:beforeAutospacing="1" w:after="100" w:afterAutospacing="1" w:line="240" w:lineRule="auto"/>
        <w:rPr>
          <w:rFonts w:ascii="Arial" w:eastAsia="Times New Roman" w:hAnsi="Arial" w:cs="Arial"/>
          <w:sz w:val="28"/>
          <w:szCs w:val="28"/>
          <w:lang w:val="en-GB" w:eastAsia="fr-FR"/>
        </w:rPr>
      </w:pPr>
      <w:r w:rsidRPr="00015C63">
        <w:rPr>
          <w:rFonts w:ascii="Arial" w:eastAsia="Times New Roman" w:hAnsi="Arial" w:cs="Arial"/>
          <w:noProof/>
          <w:color w:val="0000FF"/>
          <w:sz w:val="28"/>
          <w:szCs w:val="28"/>
          <w:lang w:eastAsia="fr-FR"/>
        </w:rPr>
        <w:drawing>
          <wp:inline distT="0" distB="0" distL="0" distR="0">
            <wp:extent cx="104775" cy="85725"/>
            <wp:effectExtent l="19050" t="0" r="9525" b="0"/>
            <wp:docPr id="1" name="Image 1" descr="New post">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post">
                      <a:hlinkClick r:id="rId8"/>
                    </pic:cNvPr>
                    <pic:cNvPicPr>
                      <a:picLocks noChangeAspect="1" noChangeArrowheads="1"/>
                    </pic:cNvPicPr>
                  </pic:nvPicPr>
                  <pic:blipFill>
                    <a:blip r:embed="rId9"/>
                    <a:srcRect/>
                    <a:stretch>
                      <a:fillRect/>
                    </a:stretch>
                  </pic:blipFill>
                  <pic:spPr bwMode="auto">
                    <a:xfrm>
                      <a:off x="0" y="0"/>
                      <a:ext cx="104775" cy="85725"/>
                    </a:xfrm>
                    <a:prstGeom prst="rect">
                      <a:avLst/>
                    </a:prstGeom>
                    <a:noFill/>
                    <a:ln w="9525">
                      <a:noFill/>
                      <a:miter lim="800000"/>
                      <a:headEnd/>
                      <a:tailEnd/>
                    </a:ln>
                  </pic:spPr>
                </pic:pic>
              </a:graphicData>
            </a:graphic>
          </wp:inline>
        </w:drawing>
      </w:r>
      <w:r w:rsidRPr="00015C63">
        <w:rPr>
          <w:rFonts w:ascii="Arial" w:eastAsia="Times New Roman" w:hAnsi="Arial" w:cs="Arial"/>
          <w:sz w:val="28"/>
          <w:szCs w:val="28"/>
          <w:lang w:val="en-GB" w:eastAsia="fr-FR"/>
        </w:rPr>
        <w:t xml:space="preserve">by </w:t>
      </w:r>
      <w:hyperlink r:id="rId10" w:history="1">
        <w:r w:rsidRPr="00015C63">
          <w:rPr>
            <w:rFonts w:ascii="Arial" w:eastAsia="Times New Roman" w:hAnsi="Arial" w:cs="Arial"/>
            <w:b/>
            <w:bCs/>
            <w:color w:val="AA0000"/>
            <w:sz w:val="28"/>
            <w:szCs w:val="28"/>
            <w:u w:val="single"/>
            <w:lang w:val="en-GB" w:eastAsia="fr-FR"/>
          </w:rPr>
          <w:t>SentientDavid</w:t>
        </w:r>
      </w:hyperlink>
      <w:r w:rsidRPr="00015C63">
        <w:rPr>
          <w:rFonts w:ascii="Arial" w:eastAsia="Times New Roman" w:hAnsi="Arial" w:cs="Arial"/>
          <w:sz w:val="28"/>
          <w:szCs w:val="28"/>
          <w:lang w:val="en-GB" w:eastAsia="fr-FR"/>
        </w:rPr>
        <w:t xml:space="preserve"> » Tue Aug 04, 2009 9:52 am </w:t>
      </w: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THT performs phasing analysis using Hurst's described process.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This has always been very important to me.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I have read many books about Cyclic analysis, including work by Millard, Ehlers and others.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When I started working with Hurst's Cycles Course I was immediately struck by the difference of approach - the phasing analysis was not a purely mathematical approach, but a pattern recognition "fuzzy logic" approach.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Hurst describes phasing analysis at times as "an art", and many times mentions that two people will come up with different phasing analyses, because of the "art" in the process.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And so instead of using the purely mathematical approach of finding troughs present in moving averages, THT replicates to some extent a visual pattern recognition process.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b/>
          <w:bCs/>
          <w:sz w:val="28"/>
          <w:szCs w:val="28"/>
          <w:u w:val="single"/>
          <w:lang w:val="en-GB" w:eastAsia="fr-FR"/>
        </w:rPr>
      </w:pPr>
      <w:r w:rsidRPr="00015C63">
        <w:rPr>
          <w:rFonts w:ascii="Arial" w:eastAsia="Times New Roman" w:hAnsi="Arial" w:cs="Arial"/>
          <w:sz w:val="28"/>
          <w:szCs w:val="28"/>
          <w:lang w:val="en-GB" w:eastAsia="fr-FR"/>
        </w:rPr>
        <w:t>Of course it uses mathematical processes (it's computer software after all...) but it uses those processes to support a logical process that mimics Hurst's own process. Let me explain the process in detail.</w:t>
      </w:r>
      <w:r w:rsidRPr="00015C63">
        <w:rPr>
          <w:rFonts w:ascii="Arial" w:eastAsia="Times New Roman" w:hAnsi="Arial" w:cs="Arial"/>
          <w:sz w:val="28"/>
          <w:szCs w:val="28"/>
          <w:lang w:val="en-GB" w:eastAsia="fr-FR"/>
        </w:rPr>
        <w:br/>
      </w:r>
      <w:r w:rsidRPr="00015C63">
        <w:rPr>
          <w:rFonts w:ascii="Arial" w:eastAsia="Times New Roman" w:hAnsi="Arial" w:cs="Arial"/>
          <w:sz w:val="28"/>
          <w:szCs w:val="28"/>
          <w:lang w:val="en-GB" w:eastAsia="fr-FR"/>
        </w:rPr>
        <w:br/>
      </w:r>
      <w:r w:rsidRPr="00015C63">
        <w:rPr>
          <w:rFonts w:ascii="Arial" w:eastAsia="Times New Roman" w:hAnsi="Arial" w:cs="Arial"/>
          <w:b/>
          <w:bCs/>
          <w:sz w:val="28"/>
          <w:szCs w:val="28"/>
          <w:u w:val="single"/>
          <w:lang w:val="en-GB" w:eastAsia="fr-FR"/>
        </w:rPr>
        <w:t>Building an Initial Cyclic Model</w:t>
      </w: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br/>
        <w:t xml:space="preserve">The first thing THT does is to build an "Initial Cyclic Model", as proposed by Hurst. Hurst's approach was to find prominent troughs from his periodograms, and build an initial cyclic model that was close to the nominal model, and which "harmonised" as well as possible - in other words each wave is as close to a perfect 2x or 3x harmonic of its adjacent waves.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THT does exactly the same thing - but first it has to generate the periodograms. It took me a long time to work out how Hurst generated those periodograms, and I'm not sure whether THT uses the </w:t>
      </w:r>
      <w:r w:rsidRPr="00015C63">
        <w:rPr>
          <w:rFonts w:ascii="Arial" w:eastAsia="Times New Roman" w:hAnsi="Arial" w:cs="Arial"/>
          <w:b/>
          <w:bCs/>
          <w:sz w:val="28"/>
          <w:szCs w:val="28"/>
          <w:lang w:val="en-GB" w:eastAsia="fr-FR"/>
        </w:rPr>
        <w:t>identical</w:t>
      </w:r>
      <w:r w:rsidRPr="00015C63">
        <w:rPr>
          <w:rFonts w:ascii="Arial" w:eastAsia="Times New Roman" w:hAnsi="Arial" w:cs="Arial"/>
          <w:sz w:val="28"/>
          <w:szCs w:val="28"/>
          <w:lang w:val="en-GB" w:eastAsia="fr-FR"/>
        </w:rPr>
        <w:t xml:space="preserve"> process, but I followed a trail of clues that Hurst left in his book "The Profit Magic of Stock Transaction Timing", particularly in chapter 11 which describes the "Lanczos" method.</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 I managed to obtain the original paper written by Lanczos in the 1960's, and with the assistance of John Smith, retired Professor of Nuclear Chemistry from John Hopkins Baltimore University (who spent many long hours explaining things to me in the hot Italian summer last year), THT now performs a version of spectral analysis on the data (it is a form of Fourier Analysis).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Having performed the spectral analysis, THT generates a "periodogram", the peaks of which provide evidence of a particular cycle in the data.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Then THT compares these peaks to the nominal model, and constructs the most likely cyclic model based on the harmonics of the cycles found, exactly as Hurst proposed in his Cycles Course.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b/>
          <w:bCs/>
          <w:sz w:val="28"/>
          <w:szCs w:val="28"/>
          <w:u w:val="single"/>
          <w:lang w:val="en-GB" w:eastAsia="fr-FR"/>
        </w:rPr>
      </w:pPr>
      <w:r w:rsidRPr="00015C63">
        <w:rPr>
          <w:rFonts w:ascii="Arial" w:eastAsia="Times New Roman" w:hAnsi="Arial" w:cs="Arial"/>
          <w:sz w:val="28"/>
          <w:szCs w:val="28"/>
          <w:lang w:val="en-GB" w:eastAsia="fr-FR"/>
        </w:rPr>
        <w:t>THT then uses this initial cyclic model as it moves on to perform a phasing analysis entry. (See my topic about the new option in THT to use the nominal or initial cyclic model as the basis for phasing analysis).</w:t>
      </w:r>
      <w:r w:rsidRPr="00015C63">
        <w:rPr>
          <w:rFonts w:ascii="Arial" w:eastAsia="Times New Roman" w:hAnsi="Arial" w:cs="Arial"/>
          <w:sz w:val="28"/>
          <w:szCs w:val="28"/>
          <w:lang w:val="en-GB" w:eastAsia="fr-FR"/>
        </w:rPr>
        <w:br/>
      </w:r>
      <w:r w:rsidRPr="00015C63">
        <w:rPr>
          <w:rFonts w:ascii="Arial" w:eastAsia="Times New Roman" w:hAnsi="Arial" w:cs="Arial"/>
          <w:sz w:val="28"/>
          <w:szCs w:val="28"/>
          <w:lang w:val="en-GB" w:eastAsia="fr-FR"/>
        </w:rPr>
        <w:br/>
      </w:r>
      <w:r w:rsidRPr="00015C63">
        <w:rPr>
          <w:rFonts w:ascii="Arial" w:eastAsia="Times New Roman" w:hAnsi="Arial" w:cs="Arial"/>
          <w:b/>
          <w:bCs/>
          <w:sz w:val="28"/>
          <w:szCs w:val="28"/>
          <w:u w:val="single"/>
          <w:lang w:val="en-GB" w:eastAsia="fr-FR"/>
        </w:rPr>
        <w:t>Rating troughs</w:t>
      </w: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br/>
        <w:t xml:space="preserve">Before I get into the meat of this topic I need to explain how THT "rates" troughs.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This is a crucial element of the phasing process, and something one takes for granted when doing a phasing analysis manually. </w:t>
      </w:r>
    </w:p>
    <w:p w:rsidR="009B0B85" w:rsidRDefault="009B0B85" w:rsidP="00015C63">
      <w:pPr>
        <w:spacing w:after="0" w:line="240" w:lineRule="auto"/>
        <w:rPr>
          <w:rFonts w:ascii="Arial" w:eastAsia="Times New Roman" w:hAnsi="Arial" w:cs="Arial"/>
          <w:sz w:val="28"/>
          <w:szCs w:val="28"/>
          <w:lang w:val="en-GB" w:eastAsia="fr-FR"/>
        </w:rPr>
      </w:pPr>
    </w:p>
    <w:p w:rsidR="00015C63" w:rsidRPr="00015C63"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It turned out to be a fairly complicated business... Here is how THT rates each and every trough found in the data:</w:t>
      </w:r>
    </w:p>
    <w:p w:rsidR="00015C63" w:rsidRDefault="00015C63" w:rsidP="00015C63">
      <w:pPr>
        <w:numPr>
          <w:ilvl w:val="0"/>
          <w:numId w:val="2"/>
        </w:numPr>
        <w:spacing w:before="100" w:beforeAutospacing="1" w:after="100" w:afterAutospacing="1"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First of all THT finds the "isolation" of the trough. This means how many bars it takes for the low price of the trough to be exceeded. If a low price is exceeded to the left (in the past) of the trough, that has a different impact than if it is exceeded to right. Further to this the isolation is calculated according to the cycle presently being considered, and so the isolation of the same trough is different when considering the 18 month cycle than it is when considering the 20 day cycle. </w:t>
      </w:r>
    </w:p>
    <w:p w:rsidR="00473785" w:rsidRPr="00015C63" w:rsidRDefault="00473785" w:rsidP="00015C63">
      <w:pPr>
        <w:numPr>
          <w:ilvl w:val="0"/>
          <w:numId w:val="2"/>
        </w:numPr>
        <w:spacing w:before="100" w:beforeAutospacing="1" w:after="100" w:afterAutospacing="1" w:line="240" w:lineRule="auto"/>
        <w:rPr>
          <w:rFonts w:ascii="Arial" w:eastAsia="Times New Roman" w:hAnsi="Arial" w:cs="Arial"/>
          <w:sz w:val="28"/>
          <w:szCs w:val="28"/>
          <w:lang w:val="en-GB" w:eastAsia="fr-FR"/>
        </w:rPr>
      </w:pPr>
    </w:p>
    <w:p w:rsidR="00015C63" w:rsidRDefault="00015C63" w:rsidP="00015C63">
      <w:pPr>
        <w:numPr>
          <w:ilvl w:val="0"/>
          <w:numId w:val="2"/>
        </w:numPr>
        <w:spacing w:before="100" w:beforeAutospacing="1" w:after="100" w:afterAutospacing="1"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Then THT calculates something it calls the "strength" of the trough - this is a figure proportional to the distance from an upper channel of a particular cycle to the trough. So again this figure is different depending on the cycle one is considering. </w:t>
      </w:r>
    </w:p>
    <w:p w:rsidR="00473785" w:rsidRPr="00015C63" w:rsidRDefault="00473785" w:rsidP="00015C63">
      <w:pPr>
        <w:numPr>
          <w:ilvl w:val="0"/>
          <w:numId w:val="2"/>
        </w:numPr>
        <w:spacing w:before="100" w:beforeAutospacing="1" w:after="100" w:afterAutospacing="1" w:line="240" w:lineRule="auto"/>
        <w:rPr>
          <w:rFonts w:ascii="Arial" w:eastAsia="Times New Roman" w:hAnsi="Arial" w:cs="Arial"/>
          <w:sz w:val="28"/>
          <w:szCs w:val="28"/>
          <w:lang w:val="en-GB" w:eastAsia="fr-FR"/>
        </w:rPr>
      </w:pPr>
    </w:p>
    <w:p w:rsidR="009B0B85" w:rsidRDefault="00015C63" w:rsidP="00015C63">
      <w:pPr>
        <w:numPr>
          <w:ilvl w:val="0"/>
          <w:numId w:val="2"/>
        </w:numPr>
        <w:spacing w:before="100" w:beforeAutospacing="1" w:after="100" w:afterAutospacing="1"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Then a trough is given a rating dependant on how it relates to other troughs around it</w:t>
      </w:r>
      <w:r w:rsidR="00473785">
        <w:rPr>
          <w:rFonts w:ascii="Arial" w:eastAsia="Times New Roman" w:hAnsi="Arial" w:cs="Arial"/>
          <w:sz w:val="28"/>
          <w:szCs w:val="28"/>
          <w:lang w:val="en-GB" w:eastAsia="fr-FR"/>
        </w:rPr>
        <w:t xml:space="preserve"> </w:t>
      </w:r>
      <w:r w:rsidRPr="00015C63">
        <w:rPr>
          <w:rFonts w:ascii="Arial" w:eastAsia="Times New Roman" w:hAnsi="Arial" w:cs="Arial"/>
          <w:sz w:val="28"/>
          <w:szCs w:val="28"/>
          <w:lang w:val="en-GB" w:eastAsia="fr-FR"/>
        </w:rPr>
        <w:t xml:space="preserve">! This is a process of virtually "drawing a line" from the trough to every other trough in the data. The angle and length of this line gives THT a further "rating" value for the trough. </w:t>
      </w:r>
    </w:p>
    <w:p w:rsidR="009B0B85" w:rsidRDefault="009B0B85" w:rsidP="00015C63">
      <w:pPr>
        <w:numPr>
          <w:ilvl w:val="0"/>
          <w:numId w:val="2"/>
        </w:numPr>
        <w:spacing w:before="100" w:beforeAutospacing="1" w:after="100" w:afterAutospacing="1" w:line="240" w:lineRule="auto"/>
        <w:rPr>
          <w:rFonts w:ascii="Arial" w:eastAsia="Times New Roman" w:hAnsi="Arial" w:cs="Arial"/>
          <w:sz w:val="28"/>
          <w:szCs w:val="28"/>
          <w:lang w:val="en-GB" w:eastAsia="fr-FR"/>
        </w:rPr>
      </w:pPr>
    </w:p>
    <w:p w:rsidR="00015C63" w:rsidRPr="00015C63" w:rsidRDefault="00015C63" w:rsidP="00015C63">
      <w:pPr>
        <w:numPr>
          <w:ilvl w:val="0"/>
          <w:numId w:val="2"/>
        </w:numPr>
        <w:spacing w:before="100" w:beforeAutospacing="1" w:after="100" w:afterAutospacing="1"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This figure is not dependant upon the cycle one is considering. </w:t>
      </w: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br/>
        <w:t>That is how THT "rates" each and every trough (defined by having a higher low price on each side) in the data.</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lastRenderedPageBreak/>
        <w:t xml:space="preserve"> But knowing the strength a particular trough is only a part of the rating process.</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 A much more important part is relating the troughs to one another.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THT does this by creating a "cyclic model" of one or more cycles. </w:t>
      </w:r>
    </w:p>
    <w:p w:rsidR="009B0B85" w:rsidRDefault="009B0B85" w:rsidP="00015C63">
      <w:pPr>
        <w:spacing w:after="0" w:line="240" w:lineRule="auto"/>
        <w:rPr>
          <w:rFonts w:ascii="Arial" w:eastAsia="Times New Roman" w:hAnsi="Arial" w:cs="Arial"/>
          <w:sz w:val="28"/>
          <w:szCs w:val="28"/>
          <w:lang w:val="en-GB" w:eastAsia="fr-FR"/>
        </w:rPr>
      </w:pPr>
    </w:p>
    <w:p w:rsidR="004737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For each cycle in the model, THT creates a list of all the troughs that it thinks might be troughs of that particular cycle. </w:t>
      </w:r>
    </w:p>
    <w:p w:rsidR="00473785" w:rsidRDefault="00473785" w:rsidP="00015C63">
      <w:pPr>
        <w:spacing w:after="0" w:line="240" w:lineRule="auto"/>
        <w:rPr>
          <w:rFonts w:ascii="Arial" w:eastAsia="Times New Roman" w:hAnsi="Arial" w:cs="Arial"/>
          <w:sz w:val="28"/>
          <w:szCs w:val="28"/>
          <w:lang w:val="en-GB" w:eastAsia="fr-FR"/>
        </w:rPr>
      </w:pPr>
    </w:p>
    <w:p w:rsidR="00015C63" w:rsidRPr="00015C63"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Then it rates that model, using this process:</w:t>
      </w:r>
    </w:p>
    <w:p w:rsidR="00473785" w:rsidRDefault="00015C63" w:rsidP="00015C63">
      <w:pPr>
        <w:numPr>
          <w:ilvl w:val="0"/>
          <w:numId w:val="3"/>
        </w:numPr>
        <w:spacing w:before="100" w:beforeAutospacing="1" w:after="100" w:afterAutospacing="1"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THT "draws a line" between adjacent troughs, and then calculates the </w:t>
      </w:r>
      <w:r w:rsidRPr="00015C63">
        <w:rPr>
          <w:rFonts w:ascii="Arial" w:eastAsia="Times New Roman" w:hAnsi="Arial" w:cs="Arial"/>
          <w:b/>
          <w:bCs/>
          <w:sz w:val="28"/>
          <w:szCs w:val="28"/>
          <w:lang w:val="en-GB" w:eastAsia="fr-FR"/>
        </w:rPr>
        <w:t xml:space="preserve">area of price </w:t>
      </w:r>
      <w:r w:rsidRPr="00015C63">
        <w:rPr>
          <w:rFonts w:ascii="Arial" w:eastAsia="Times New Roman" w:hAnsi="Arial" w:cs="Arial"/>
          <w:sz w:val="28"/>
          <w:szCs w:val="28"/>
          <w:lang w:val="en-GB" w:eastAsia="fr-FR"/>
        </w:rPr>
        <w:t xml:space="preserve">below that line between the troughs. </w:t>
      </w:r>
    </w:p>
    <w:p w:rsidR="00015C63" w:rsidRDefault="00015C63" w:rsidP="00473785">
      <w:pPr>
        <w:spacing w:before="100" w:beforeAutospacing="1" w:after="100" w:afterAutospacing="1" w:line="240" w:lineRule="auto"/>
        <w:ind w:left="720"/>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The more price action there is below the line, the lower the rating of this pair of troughs. </w:t>
      </w:r>
    </w:p>
    <w:p w:rsidR="00473785" w:rsidRPr="00015C63" w:rsidRDefault="00473785" w:rsidP="00015C63">
      <w:pPr>
        <w:numPr>
          <w:ilvl w:val="0"/>
          <w:numId w:val="3"/>
        </w:numPr>
        <w:spacing w:before="100" w:beforeAutospacing="1" w:after="100" w:afterAutospacing="1" w:line="240" w:lineRule="auto"/>
        <w:rPr>
          <w:rFonts w:ascii="Arial" w:eastAsia="Times New Roman" w:hAnsi="Arial" w:cs="Arial"/>
          <w:sz w:val="28"/>
          <w:szCs w:val="28"/>
          <w:lang w:val="en-GB" w:eastAsia="fr-FR"/>
        </w:rPr>
      </w:pPr>
    </w:p>
    <w:p w:rsidR="00015C63" w:rsidRDefault="00015C63" w:rsidP="00015C63">
      <w:pPr>
        <w:numPr>
          <w:ilvl w:val="0"/>
          <w:numId w:val="3"/>
        </w:numPr>
        <w:spacing w:before="100" w:beforeAutospacing="1" w:after="100" w:afterAutospacing="1"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THT generates a dummy FLD line, and tests to see whether these troughs behave correctly with this FLD line (in other words the troughs are below the line, and price crosses roughly midway between the intervening peak) </w:t>
      </w:r>
    </w:p>
    <w:p w:rsidR="00473785" w:rsidRPr="00015C63" w:rsidRDefault="00473785" w:rsidP="00015C63">
      <w:pPr>
        <w:numPr>
          <w:ilvl w:val="0"/>
          <w:numId w:val="3"/>
        </w:numPr>
        <w:spacing w:before="100" w:beforeAutospacing="1" w:after="100" w:afterAutospacing="1" w:line="240" w:lineRule="auto"/>
        <w:rPr>
          <w:rFonts w:ascii="Arial" w:eastAsia="Times New Roman" w:hAnsi="Arial" w:cs="Arial"/>
          <w:sz w:val="28"/>
          <w:szCs w:val="28"/>
          <w:lang w:val="en-GB" w:eastAsia="fr-FR"/>
        </w:rPr>
      </w:pPr>
    </w:p>
    <w:p w:rsidR="00015C63" w:rsidRDefault="00015C63" w:rsidP="00015C63">
      <w:pPr>
        <w:numPr>
          <w:ilvl w:val="0"/>
          <w:numId w:val="3"/>
        </w:numPr>
        <w:spacing w:before="100" w:beforeAutospacing="1" w:after="100" w:afterAutospacing="1"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Then a dummy VTL line is drawn (using 3 consecutive troughs because VTL's imply things to do with one cycle up) and a similar test is performed, this time evaluating whether the crossing of the VTL proved to be correct in terms of the longer cycle. </w:t>
      </w:r>
    </w:p>
    <w:p w:rsidR="00473785" w:rsidRPr="00015C63" w:rsidRDefault="00473785" w:rsidP="00015C63">
      <w:pPr>
        <w:numPr>
          <w:ilvl w:val="0"/>
          <w:numId w:val="3"/>
        </w:numPr>
        <w:spacing w:before="100" w:beforeAutospacing="1" w:after="100" w:afterAutospacing="1" w:line="240" w:lineRule="auto"/>
        <w:rPr>
          <w:rFonts w:ascii="Arial" w:eastAsia="Times New Roman" w:hAnsi="Arial" w:cs="Arial"/>
          <w:sz w:val="28"/>
          <w:szCs w:val="28"/>
          <w:lang w:val="en-GB" w:eastAsia="fr-FR"/>
        </w:rPr>
      </w:pPr>
    </w:p>
    <w:p w:rsidR="00473785" w:rsidRPr="00473785" w:rsidRDefault="00015C63" w:rsidP="00015C63">
      <w:pPr>
        <w:numPr>
          <w:ilvl w:val="0"/>
          <w:numId w:val="3"/>
        </w:numPr>
        <w:spacing w:before="100" w:beforeAutospacing="1" w:after="100" w:afterAutospacing="1" w:line="240" w:lineRule="auto"/>
        <w:rPr>
          <w:rFonts w:ascii="Arial" w:eastAsia="Times New Roman" w:hAnsi="Arial" w:cs="Arial"/>
          <w:b/>
          <w:sz w:val="28"/>
          <w:szCs w:val="28"/>
          <w:lang w:val="en-GB" w:eastAsia="fr-FR"/>
        </w:rPr>
      </w:pPr>
      <w:r w:rsidRPr="00473785">
        <w:rPr>
          <w:rFonts w:ascii="Arial" w:eastAsia="Times New Roman" w:hAnsi="Arial" w:cs="Arial"/>
          <w:b/>
          <w:sz w:val="28"/>
          <w:szCs w:val="28"/>
          <w:lang w:val="en-GB" w:eastAsia="fr-FR"/>
        </w:rPr>
        <w:t xml:space="preserve">Then a harmonic rating is determined: </w:t>
      </w:r>
    </w:p>
    <w:p w:rsidR="00473785" w:rsidRDefault="00015C63" w:rsidP="00473785">
      <w:pPr>
        <w:spacing w:before="100" w:beforeAutospacing="1" w:after="100" w:afterAutospacing="1"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this is a very useful value for comparing different models. </w:t>
      </w:r>
    </w:p>
    <w:p w:rsidR="00473785" w:rsidRDefault="00015C63" w:rsidP="00473785">
      <w:pPr>
        <w:spacing w:before="100" w:beforeAutospacing="1" w:after="100" w:afterAutospacing="1"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A model with a high harmonic rating is one with a much greater average strength across all its even troughs than its odd troughs (or vice versa). </w:t>
      </w:r>
    </w:p>
    <w:p w:rsidR="00015C63" w:rsidRDefault="00015C63" w:rsidP="00473785">
      <w:pPr>
        <w:spacing w:before="100" w:beforeAutospacing="1" w:after="100" w:afterAutospacing="1"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A model that has similar strengths is not as highly rated because the longer cycle is not so clearly evident, and there is probably an extra trough, or a missing trough somewhere in the model. </w:t>
      </w:r>
    </w:p>
    <w:p w:rsidR="00473785" w:rsidRPr="00015C63" w:rsidRDefault="00473785" w:rsidP="00015C63">
      <w:pPr>
        <w:numPr>
          <w:ilvl w:val="0"/>
          <w:numId w:val="3"/>
        </w:numPr>
        <w:spacing w:before="100" w:beforeAutospacing="1" w:after="100" w:afterAutospacing="1" w:line="240" w:lineRule="auto"/>
        <w:rPr>
          <w:rFonts w:ascii="Arial" w:eastAsia="Times New Roman" w:hAnsi="Arial" w:cs="Arial"/>
          <w:sz w:val="28"/>
          <w:szCs w:val="28"/>
          <w:lang w:val="en-GB" w:eastAsia="fr-FR"/>
        </w:rPr>
      </w:pPr>
    </w:p>
    <w:p w:rsidR="00473785" w:rsidRPr="00473785" w:rsidRDefault="00473785" w:rsidP="00015C63">
      <w:pPr>
        <w:numPr>
          <w:ilvl w:val="0"/>
          <w:numId w:val="3"/>
        </w:numPr>
        <w:spacing w:before="100" w:beforeAutospacing="1" w:after="100" w:afterAutospacing="1" w:line="240" w:lineRule="auto"/>
        <w:rPr>
          <w:rFonts w:ascii="Arial" w:eastAsia="Times New Roman" w:hAnsi="Arial" w:cs="Arial"/>
          <w:b/>
          <w:sz w:val="28"/>
          <w:szCs w:val="28"/>
          <w:lang w:val="en-GB" w:eastAsia="fr-FR"/>
        </w:rPr>
      </w:pPr>
      <w:r w:rsidRPr="00473785">
        <w:rPr>
          <w:rFonts w:ascii="Arial" w:eastAsia="Times New Roman" w:hAnsi="Arial" w:cs="Arial"/>
          <w:b/>
          <w:sz w:val="28"/>
          <w:szCs w:val="28"/>
          <w:lang w:val="en-GB" w:eastAsia="fr-FR"/>
        </w:rPr>
        <w:t>2</w:t>
      </w:r>
      <w:r w:rsidR="00015C63" w:rsidRPr="00473785">
        <w:rPr>
          <w:rFonts w:ascii="Arial" w:eastAsia="Times New Roman" w:hAnsi="Arial" w:cs="Arial"/>
          <w:b/>
          <w:sz w:val="28"/>
          <w:szCs w:val="28"/>
          <w:lang w:val="en-GB" w:eastAsia="fr-FR"/>
        </w:rPr>
        <w:t xml:space="preserve"> final ratings are calculated: </w:t>
      </w:r>
    </w:p>
    <w:p w:rsidR="00473785" w:rsidRDefault="00473785" w:rsidP="00015C63">
      <w:pPr>
        <w:numPr>
          <w:ilvl w:val="0"/>
          <w:numId w:val="3"/>
        </w:numPr>
        <w:spacing w:before="100" w:beforeAutospacing="1" w:after="100" w:afterAutospacing="1" w:line="240" w:lineRule="auto"/>
        <w:rPr>
          <w:rFonts w:ascii="Arial" w:eastAsia="Times New Roman" w:hAnsi="Arial" w:cs="Arial"/>
          <w:sz w:val="28"/>
          <w:szCs w:val="28"/>
          <w:lang w:val="en-GB" w:eastAsia="fr-FR"/>
        </w:rPr>
      </w:pPr>
    </w:p>
    <w:p w:rsidR="00473785" w:rsidRDefault="00015C63" w:rsidP="00015C63">
      <w:pPr>
        <w:numPr>
          <w:ilvl w:val="0"/>
          <w:numId w:val="3"/>
        </w:numPr>
        <w:spacing w:before="100" w:beforeAutospacing="1" w:after="100" w:afterAutospacing="1"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a regularity measure, which indicates how regular the cycles in the model are, </w:t>
      </w:r>
    </w:p>
    <w:p w:rsidR="00473785" w:rsidRDefault="00473785" w:rsidP="00015C63">
      <w:pPr>
        <w:numPr>
          <w:ilvl w:val="0"/>
          <w:numId w:val="3"/>
        </w:numPr>
        <w:spacing w:before="100" w:beforeAutospacing="1" w:after="100" w:afterAutospacing="1" w:line="240" w:lineRule="auto"/>
        <w:rPr>
          <w:rFonts w:ascii="Arial" w:eastAsia="Times New Roman" w:hAnsi="Arial" w:cs="Arial"/>
          <w:sz w:val="28"/>
          <w:szCs w:val="28"/>
          <w:lang w:val="en-GB" w:eastAsia="fr-FR"/>
        </w:rPr>
      </w:pPr>
    </w:p>
    <w:p w:rsidR="00015C63" w:rsidRPr="00015C63" w:rsidRDefault="00015C63" w:rsidP="00015C63">
      <w:pPr>
        <w:numPr>
          <w:ilvl w:val="0"/>
          <w:numId w:val="3"/>
        </w:numPr>
        <w:spacing w:before="100" w:beforeAutospacing="1" w:after="100" w:afterAutospacing="1"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and a nominal variance measure, which indicates how close to nominal the model is.</w:t>
      </w:r>
    </w:p>
    <w:p w:rsidR="004737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lastRenderedPageBreak/>
        <w:br/>
        <w:t>This rating process is used throughout the phasing analysis process, and lies at the heart of resolving ambiguous phasing situations.</w:t>
      </w:r>
    </w:p>
    <w:p w:rsidR="00473785" w:rsidRDefault="00473785" w:rsidP="00015C63">
      <w:pPr>
        <w:spacing w:after="0" w:line="240" w:lineRule="auto"/>
        <w:rPr>
          <w:rFonts w:ascii="Arial" w:eastAsia="Times New Roman" w:hAnsi="Arial" w:cs="Arial"/>
          <w:sz w:val="28"/>
          <w:szCs w:val="28"/>
          <w:lang w:val="en-GB" w:eastAsia="fr-FR"/>
        </w:rPr>
      </w:pPr>
    </w:p>
    <w:p w:rsidR="00015C63" w:rsidRPr="00015C63"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 I should also mention that THT builds its own weekly data from the daily data it works with, and uses troughs found in the weekly data initially, then moves on to the daily data as it works its way down in the phasing analysis extension.</w:t>
      </w:r>
    </w:p>
    <w:p w:rsidR="00473785" w:rsidRDefault="00473785" w:rsidP="00015C63">
      <w:pPr>
        <w:spacing w:after="0" w:line="240" w:lineRule="auto"/>
        <w:rPr>
          <w:rFonts w:ascii="Arial" w:eastAsia="Times New Roman" w:hAnsi="Arial" w:cs="Arial"/>
          <w:b/>
          <w:bCs/>
          <w:sz w:val="28"/>
          <w:szCs w:val="28"/>
          <w:u w:val="single"/>
          <w:lang w:val="en-GB" w:eastAsia="fr-FR"/>
        </w:rPr>
      </w:pPr>
    </w:p>
    <w:p w:rsidR="009B0B85" w:rsidRDefault="00015C63" w:rsidP="00015C63">
      <w:pPr>
        <w:spacing w:after="0" w:line="240" w:lineRule="auto"/>
        <w:rPr>
          <w:rFonts w:ascii="Arial" w:eastAsia="Times New Roman" w:hAnsi="Arial" w:cs="Arial"/>
          <w:b/>
          <w:bCs/>
          <w:sz w:val="28"/>
          <w:szCs w:val="28"/>
          <w:u w:val="single"/>
          <w:lang w:val="en-GB" w:eastAsia="fr-FR"/>
        </w:rPr>
      </w:pPr>
      <w:r w:rsidRPr="00015C63">
        <w:rPr>
          <w:rFonts w:ascii="Arial" w:eastAsia="Times New Roman" w:hAnsi="Arial" w:cs="Arial"/>
          <w:b/>
          <w:bCs/>
          <w:sz w:val="28"/>
          <w:szCs w:val="28"/>
          <w:u w:val="single"/>
          <w:lang w:val="en-GB" w:eastAsia="fr-FR"/>
        </w:rPr>
        <w:t>Phasing Analysis Entry</w:t>
      </w: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br/>
        <w:t xml:space="preserve">Phasing analysis entry starts with identifying the most obvious troughs of the dominant cycle.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The dominant cycle is the longest cycle apparent in the data you are working with (I have sometimes thought this term is a bit misleading because it implies that this cycle "dominates" over all the others, which I suppose in some ways it does ... but it is possible to have a shorter cycle which is more "dominant" in this sense).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THT starts the phasing analysis entry by finding an "entry root" which is the most prominent trough in the data.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This is usually, but not always, the lowest price in the data range. It might not be the lowest trough if the rating of the trough (described above) is higher for one or another reason.</w:t>
      </w:r>
      <w:r w:rsidRPr="00015C63">
        <w:rPr>
          <w:rFonts w:ascii="Arial" w:eastAsia="Times New Roman" w:hAnsi="Arial" w:cs="Arial"/>
          <w:sz w:val="28"/>
          <w:szCs w:val="28"/>
          <w:lang w:val="en-GB" w:eastAsia="fr-FR"/>
        </w:rPr>
        <w:br/>
      </w:r>
      <w:r w:rsidRPr="00015C63">
        <w:rPr>
          <w:rFonts w:ascii="Arial" w:eastAsia="Times New Roman" w:hAnsi="Arial" w:cs="Arial"/>
          <w:sz w:val="28"/>
          <w:szCs w:val="28"/>
          <w:lang w:val="en-GB" w:eastAsia="fr-FR"/>
        </w:rPr>
        <w:br/>
        <w:t xml:space="preserve">Having found an entry root, THT searches forwards and backwards from that trough, looking for troughs within range (of 65% - 150% of nominal or initial cyclic model length), which could be troughs of the same cycle.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This is the same process used by Hurst. Instead of trying to resolve ambiguities at this level THT instead builds many different models (rather in the way Hurst would place diamonds with crosses in them).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In the event of no troughs being found in an area where one is expected, THT will insert a "straddled" trough using the most prominent trough it can find.</w:t>
      </w:r>
      <w:r w:rsidRPr="00015C63">
        <w:rPr>
          <w:rFonts w:ascii="Arial" w:eastAsia="Times New Roman" w:hAnsi="Arial" w:cs="Arial"/>
          <w:sz w:val="28"/>
          <w:szCs w:val="28"/>
          <w:lang w:val="en-GB" w:eastAsia="fr-FR"/>
        </w:rPr>
        <w:br/>
      </w:r>
      <w:r w:rsidRPr="00015C63">
        <w:rPr>
          <w:rFonts w:ascii="Arial" w:eastAsia="Times New Roman" w:hAnsi="Arial" w:cs="Arial"/>
          <w:sz w:val="28"/>
          <w:szCs w:val="28"/>
          <w:lang w:val="en-GB" w:eastAsia="fr-FR"/>
        </w:rPr>
        <w:br/>
        <w:t xml:space="preserve">Having found all possible cyclic models at the dominant cycle level THT sorts them (using a process which considers the ratings of each model as described above), and passes only the top 10 models on.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This 10 is an arbitrary number, but I found when experimenting with this that it is only the top few models that really count.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b/>
          <w:bCs/>
          <w:sz w:val="28"/>
          <w:szCs w:val="28"/>
          <w:u w:val="single"/>
          <w:lang w:val="en-GB" w:eastAsia="fr-FR"/>
        </w:rPr>
      </w:pPr>
      <w:r w:rsidRPr="00015C63">
        <w:rPr>
          <w:rFonts w:ascii="Arial" w:eastAsia="Times New Roman" w:hAnsi="Arial" w:cs="Arial"/>
          <w:sz w:val="28"/>
          <w:szCs w:val="28"/>
          <w:lang w:val="en-GB" w:eastAsia="fr-FR"/>
        </w:rPr>
        <w:t xml:space="preserve">The process would be speeded up by passing only 3 or 5 models on, but there are some conditions in which a poorly rated model jumps to the top because of what </w:t>
      </w:r>
      <w:r w:rsidRPr="00015C63">
        <w:rPr>
          <w:rFonts w:ascii="Arial" w:eastAsia="Times New Roman" w:hAnsi="Arial" w:cs="Arial"/>
          <w:sz w:val="28"/>
          <w:szCs w:val="28"/>
          <w:lang w:val="en-GB" w:eastAsia="fr-FR"/>
        </w:rPr>
        <w:lastRenderedPageBreak/>
        <w:t>happens in phasing analysis extension, so I settled on 10 as a suitable compromise.</w:t>
      </w:r>
      <w:r w:rsidRPr="00015C63">
        <w:rPr>
          <w:rFonts w:ascii="Arial" w:eastAsia="Times New Roman" w:hAnsi="Arial" w:cs="Arial"/>
          <w:sz w:val="28"/>
          <w:szCs w:val="28"/>
          <w:lang w:val="en-GB" w:eastAsia="fr-FR"/>
        </w:rPr>
        <w:br/>
      </w:r>
      <w:r w:rsidRPr="00015C63">
        <w:rPr>
          <w:rFonts w:ascii="Arial" w:eastAsia="Times New Roman" w:hAnsi="Arial" w:cs="Arial"/>
          <w:sz w:val="28"/>
          <w:szCs w:val="28"/>
          <w:lang w:val="en-GB" w:eastAsia="fr-FR"/>
        </w:rPr>
        <w:br/>
      </w:r>
      <w:r w:rsidRPr="00015C63">
        <w:rPr>
          <w:rFonts w:ascii="Arial" w:eastAsia="Times New Roman" w:hAnsi="Arial" w:cs="Arial"/>
          <w:b/>
          <w:bCs/>
          <w:sz w:val="28"/>
          <w:szCs w:val="28"/>
          <w:u w:val="single"/>
          <w:lang w:val="en-GB" w:eastAsia="fr-FR"/>
        </w:rPr>
        <w:t>Phasing Analysis Extension</w:t>
      </w: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br/>
        <w:t>This is the process of working down from the dominant cycle all the way to the 5-day cycle (in fact if the dominant cycle is longer than 18 months THT only works down to the 10-day cycle, and uses a simplified, less accurate process on the 5-day cycle).</w:t>
      </w:r>
      <w:r w:rsidRPr="00015C63">
        <w:rPr>
          <w:rFonts w:ascii="Arial" w:eastAsia="Times New Roman" w:hAnsi="Arial" w:cs="Arial"/>
          <w:sz w:val="28"/>
          <w:szCs w:val="28"/>
          <w:lang w:val="en-GB" w:eastAsia="fr-FR"/>
        </w:rPr>
        <w:br/>
      </w:r>
      <w:r w:rsidRPr="00015C63">
        <w:rPr>
          <w:rFonts w:ascii="Arial" w:eastAsia="Times New Roman" w:hAnsi="Arial" w:cs="Arial"/>
          <w:sz w:val="28"/>
          <w:szCs w:val="28"/>
          <w:lang w:val="en-GB" w:eastAsia="fr-FR"/>
        </w:rPr>
        <w:br/>
        <w:t xml:space="preserve">THT performs phasing analysis extension (as proposed by Hurst - I'm sounding like a broken record!) by first transferring the troughs from one cycle up, and then building cyclic models using those troughs, looking for all possible troughs between those "inherited" troughs. It does this for each of the models passed on from one level up.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Often the lower level phasing helps to resolve ambiguities one level up, which is why THT follows this process, and doesn't simply resolve those ambiguities at the higher level.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This is also one of the reasons why the weekly charts on THT plot the </w:t>
      </w:r>
      <w:r w:rsidRPr="00015C63">
        <w:rPr>
          <w:rFonts w:ascii="Arial" w:eastAsia="Times New Roman" w:hAnsi="Arial" w:cs="Arial"/>
          <w:b/>
          <w:bCs/>
          <w:sz w:val="28"/>
          <w:szCs w:val="28"/>
          <w:lang w:val="en-GB" w:eastAsia="fr-FR"/>
        </w:rPr>
        <w:t>final phasing analysis</w:t>
      </w:r>
      <w:r w:rsidRPr="00015C63">
        <w:rPr>
          <w:rFonts w:ascii="Arial" w:eastAsia="Times New Roman" w:hAnsi="Arial" w:cs="Arial"/>
          <w:sz w:val="28"/>
          <w:szCs w:val="28"/>
          <w:lang w:val="en-GB" w:eastAsia="fr-FR"/>
        </w:rPr>
        <w:t xml:space="preserve"> - because ambiguities and mistakes are resolved by the daily data analysis, so why present a phasing analysis that THT knows is incorrect because of the lower level phasing</w:t>
      </w:r>
      <w:r w:rsidR="009B0B85">
        <w:rPr>
          <w:rFonts w:ascii="Arial" w:eastAsia="Times New Roman" w:hAnsi="Arial" w:cs="Arial"/>
          <w:sz w:val="28"/>
          <w:szCs w:val="28"/>
          <w:lang w:val="en-GB" w:eastAsia="fr-FR"/>
        </w:rPr>
        <w:t xml:space="preserve"> </w:t>
      </w:r>
      <w:r w:rsidRPr="00015C63">
        <w:rPr>
          <w:rFonts w:ascii="Arial" w:eastAsia="Times New Roman" w:hAnsi="Arial" w:cs="Arial"/>
          <w:sz w:val="28"/>
          <w:szCs w:val="28"/>
          <w:lang w:val="en-GB" w:eastAsia="fr-FR"/>
        </w:rPr>
        <w:t>?</w:t>
      </w:r>
      <w:r w:rsidRPr="00015C63">
        <w:rPr>
          <w:rFonts w:ascii="Arial" w:eastAsia="Times New Roman" w:hAnsi="Arial" w:cs="Arial"/>
          <w:sz w:val="28"/>
          <w:szCs w:val="28"/>
          <w:lang w:val="en-GB" w:eastAsia="fr-FR"/>
        </w:rPr>
        <w:br/>
      </w:r>
      <w:r w:rsidRPr="00015C63">
        <w:rPr>
          <w:rFonts w:ascii="Arial" w:eastAsia="Times New Roman" w:hAnsi="Arial" w:cs="Arial"/>
          <w:sz w:val="28"/>
          <w:szCs w:val="28"/>
          <w:lang w:val="en-GB" w:eastAsia="fr-FR"/>
        </w:rPr>
        <w:br/>
        <w:t xml:space="preserve">THT builds cyclic models for each cycle, and combines them with the models it has inherited, resulting eventually in many hundreds (or even thousands) of cyclic models.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b/>
          <w:bCs/>
          <w:sz w:val="28"/>
          <w:szCs w:val="28"/>
          <w:u w:val="single"/>
          <w:lang w:val="en-GB" w:eastAsia="fr-FR"/>
        </w:rPr>
      </w:pPr>
      <w:r w:rsidRPr="00015C63">
        <w:rPr>
          <w:rFonts w:ascii="Arial" w:eastAsia="Times New Roman" w:hAnsi="Arial" w:cs="Arial"/>
          <w:sz w:val="28"/>
          <w:szCs w:val="28"/>
          <w:lang w:val="en-GB" w:eastAsia="fr-FR"/>
        </w:rPr>
        <w:t>Before moving on to the next cycle it sorts all of these models (this is the most time consuming part of the process), and passes on the top 10 only.</w:t>
      </w:r>
      <w:r w:rsidRPr="00015C63">
        <w:rPr>
          <w:rFonts w:ascii="Arial" w:eastAsia="Times New Roman" w:hAnsi="Arial" w:cs="Arial"/>
          <w:sz w:val="28"/>
          <w:szCs w:val="28"/>
          <w:lang w:val="en-GB" w:eastAsia="fr-FR"/>
        </w:rPr>
        <w:br/>
      </w:r>
      <w:r w:rsidRPr="00015C63">
        <w:rPr>
          <w:rFonts w:ascii="Arial" w:eastAsia="Times New Roman" w:hAnsi="Arial" w:cs="Arial"/>
          <w:sz w:val="28"/>
          <w:szCs w:val="28"/>
          <w:lang w:val="en-GB" w:eastAsia="fr-FR"/>
        </w:rPr>
        <w:br/>
      </w:r>
      <w:r w:rsidRPr="00015C63">
        <w:rPr>
          <w:rFonts w:ascii="Arial" w:eastAsia="Times New Roman" w:hAnsi="Arial" w:cs="Arial"/>
          <w:b/>
          <w:bCs/>
          <w:sz w:val="28"/>
          <w:szCs w:val="28"/>
          <w:u w:val="single"/>
          <w:lang w:val="en-GB" w:eastAsia="fr-FR"/>
        </w:rPr>
        <w:t>Phasing Analysis Completion</w:t>
      </w:r>
    </w:p>
    <w:p w:rsidR="009B0B85" w:rsidRDefault="00015C63" w:rsidP="00015C63">
      <w:pPr>
        <w:spacing w:after="0" w:line="240" w:lineRule="auto"/>
        <w:rPr>
          <w:rFonts w:ascii="Arial" w:eastAsia="Times New Roman" w:hAnsi="Arial" w:cs="Arial"/>
          <w:b/>
          <w:bCs/>
          <w:sz w:val="28"/>
          <w:szCs w:val="28"/>
          <w:u w:val="single"/>
          <w:lang w:val="en-GB" w:eastAsia="fr-FR"/>
        </w:rPr>
      </w:pPr>
      <w:r w:rsidRPr="00015C63">
        <w:rPr>
          <w:rFonts w:ascii="Arial" w:eastAsia="Times New Roman" w:hAnsi="Arial" w:cs="Arial"/>
          <w:sz w:val="28"/>
          <w:szCs w:val="28"/>
          <w:lang w:val="en-GB" w:eastAsia="fr-FR"/>
        </w:rPr>
        <w:br/>
        <w:t>Finally THT performs phasing analysis completion - it works back UP the cycles, resolving ambiguities thanks to the lower level phasing, and actually extending beyond the dominant cycle to find evidence of longer cycles (it uses a rough estimate of Sigma L to do this... as proposed by Hurst...)</w:t>
      </w:r>
      <w:r w:rsidRPr="00015C63">
        <w:rPr>
          <w:rFonts w:ascii="Arial" w:eastAsia="Times New Roman" w:hAnsi="Arial" w:cs="Arial"/>
          <w:sz w:val="28"/>
          <w:szCs w:val="28"/>
          <w:lang w:val="en-GB" w:eastAsia="fr-FR"/>
        </w:rPr>
        <w:br/>
      </w:r>
      <w:r w:rsidRPr="00015C63">
        <w:rPr>
          <w:rFonts w:ascii="Arial" w:eastAsia="Times New Roman" w:hAnsi="Arial" w:cs="Arial"/>
          <w:sz w:val="28"/>
          <w:szCs w:val="28"/>
          <w:lang w:val="en-GB" w:eastAsia="fr-FR"/>
        </w:rPr>
        <w:br/>
      </w:r>
      <w:r w:rsidRPr="00015C63">
        <w:rPr>
          <w:rFonts w:ascii="Arial" w:eastAsia="Times New Roman" w:hAnsi="Arial" w:cs="Arial"/>
          <w:b/>
          <w:bCs/>
          <w:sz w:val="28"/>
          <w:szCs w:val="28"/>
          <w:u w:val="single"/>
          <w:lang w:val="en-GB" w:eastAsia="fr-FR"/>
        </w:rPr>
        <w:t>Building the "Future Model"</w:t>
      </w: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br/>
        <w:t xml:space="preserve">During phasing analysis up to this point THT has only worked as far (to the right on the chart) as the last trough of the dominant cycle.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lastRenderedPageBreak/>
        <w:t xml:space="preserve">This means there is an area that can be as long, or sometimes longer that the dominant cycle at the right of the chart that hasn't been phased.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THT phases this area separately because it requires a slightly different, more complicated approach which is more time consuming.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This part of the phasing analysis is actually given a name: the "future model", and handled almost as a separate entity by THT.</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 It is presented by means of hollow diamonds, and THT in fact stores up to 5 different versions of this phasing so that you can compare them.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The reason for this is because this is the part of the phasing that is critical - this is the phasing that mostly influences trading decisions, and is where you will most probably want to "double-check" what THT is doing.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To some extent it doesn't really matter if a trough of a part</w:t>
      </w:r>
      <w:r w:rsidR="009B0B85">
        <w:rPr>
          <w:rFonts w:ascii="Arial" w:eastAsia="Times New Roman" w:hAnsi="Arial" w:cs="Arial"/>
          <w:sz w:val="28"/>
          <w:szCs w:val="28"/>
          <w:lang w:val="en-GB" w:eastAsia="fr-FR"/>
        </w:rPr>
        <w:t>ic</w:t>
      </w:r>
      <w:r w:rsidRPr="00015C63">
        <w:rPr>
          <w:rFonts w:ascii="Arial" w:eastAsia="Times New Roman" w:hAnsi="Arial" w:cs="Arial"/>
          <w:sz w:val="28"/>
          <w:szCs w:val="28"/>
          <w:lang w:val="en-GB" w:eastAsia="fr-FR"/>
        </w:rPr>
        <w:t>ular cycle is misplaced several cycles in the past, but here it does matter.</w:t>
      </w:r>
      <w:r w:rsidRPr="00015C63">
        <w:rPr>
          <w:rFonts w:ascii="Arial" w:eastAsia="Times New Roman" w:hAnsi="Arial" w:cs="Arial"/>
          <w:sz w:val="28"/>
          <w:szCs w:val="28"/>
          <w:lang w:val="en-GB" w:eastAsia="fr-FR"/>
        </w:rPr>
        <w:br/>
      </w:r>
      <w:r w:rsidRPr="00015C63">
        <w:rPr>
          <w:rFonts w:ascii="Arial" w:eastAsia="Times New Roman" w:hAnsi="Arial" w:cs="Arial"/>
          <w:sz w:val="28"/>
          <w:szCs w:val="28"/>
          <w:lang w:val="en-GB" w:eastAsia="fr-FR"/>
        </w:rPr>
        <w:br/>
        <w:t xml:space="preserve">The reason this part of the phasing is more complicated is because THT has to be very careful about the rating of troughs here (it uses a modified rating system to handle troughs near the right edge of the chart), and because there are no troughs to the right it is much harder to actually perform the phasing.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Consider the manual process of phasing - when there is a trough to the left and one to the right, you can pretty easily guess the position of the trough in between, but of course on the right edge you cannot, and there is a great danger that you decide a particular trough is a trough of a certain cycle, but that decision proves later to be premature.</w:t>
      </w:r>
      <w:r w:rsidRPr="00015C63">
        <w:rPr>
          <w:rFonts w:ascii="Arial" w:eastAsia="Times New Roman" w:hAnsi="Arial" w:cs="Arial"/>
          <w:sz w:val="28"/>
          <w:szCs w:val="28"/>
          <w:lang w:val="en-GB" w:eastAsia="fr-FR"/>
        </w:rPr>
        <w:br/>
      </w:r>
      <w:r w:rsidRPr="00015C63">
        <w:rPr>
          <w:rFonts w:ascii="Arial" w:eastAsia="Times New Roman" w:hAnsi="Arial" w:cs="Arial"/>
          <w:sz w:val="28"/>
          <w:szCs w:val="28"/>
          <w:lang w:val="en-GB" w:eastAsia="fr-FR"/>
        </w:rPr>
        <w:br/>
        <w:t xml:space="preserve">THT uses a principle of the "burdening" of troughs to protect against making premature phasing decisions.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b/>
          <w:bCs/>
          <w:sz w:val="28"/>
          <w:szCs w:val="28"/>
          <w:u w:val="single"/>
          <w:lang w:val="en-GB" w:eastAsia="fr-FR"/>
        </w:rPr>
      </w:pPr>
      <w:r w:rsidRPr="00015C63">
        <w:rPr>
          <w:rFonts w:ascii="Arial" w:eastAsia="Times New Roman" w:hAnsi="Arial" w:cs="Arial"/>
          <w:sz w:val="28"/>
          <w:szCs w:val="28"/>
          <w:lang w:val="en-GB" w:eastAsia="fr-FR"/>
        </w:rPr>
        <w:t xml:space="preserve">A trough is "burdened" if owing to the principle of harmony the placing of a particular trough implies the simultaneous placing of a longer cycle trough in the same place. I described this in more detail </w:t>
      </w:r>
      <w:hyperlink r:id="rId11" w:history="1">
        <w:r w:rsidRPr="00015C63">
          <w:rPr>
            <w:rFonts w:ascii="Arial" w:eastAsia="Times New Roman" w:hAnsi="Arial" w:cs="Arial"/>
            <w:color w:val="0000FF"/>
            <w:sz w:val="28"/>
            <w:szCs w:val="28"/>
            <w:u w:val="single"/>
            <w:lang w:val="en-GB" w:eastAsia="fr-FR"/>
          </w:rPr>
          <w:t>here</w:t>
        </w:r>
      </w:hyperlink>
      <w:r w:rsidRPr="00015C63">
        <w:rPr>
          <w:rFonts w:ascii="Arial" w:eastAsia="Times New Roman" w:hAnsi="Arial" w:cs="Arial"/>
          <w:sz w:val="28"/>
          <w:szCs w:val="28"/>
          <w:lang w:val="en-GB" w:eastAsia="fr-FR"/>
        </w:rPr>
        <w:t>.</w:t>
      </w:r>
      <w:r w:rsidRPr="00015C63">
        <w:rPr>
          <w:rFonts w:ascii="Arial" w:eastAsia="Times New Roman" w:hAnsi="Arial" w:cs="Arial"/>
          <w:sz w:val="28"/>
          <w:szCs w:val="28"/>
          <w:lang w:val="en-GB" w:eastAsia="fr-FR"/>
        </w:rPr>
        <w:br/>
      </w:r>
      <w:r w:rsidRPr="00015C63">
        <w:rPr>
          <w:rFonts w:ascii="Arial" w:eastAsia="Times New Roman" w:hAnsi="Arial" w:cs="Arial"/>
          <w:sz w:val="28"/>
          <w:szCs w:val="28"/>
          <w:lang w:val="en-GB" w:eastAsia="fr-FR"/>
        </w:rPr>
        <w:br/>
      </w:r>
      <w:r w:rsidRPr="00015C63">
        <w:rPr>
          <w:rFonts w:ascii="Arial" w:eastAsia="Times New Roman" w:hAnsi="Arial" w:cs="Arial"/>
          <w:b/>
          <w:bCs/>
          <w:sz w:val="28"/>
          <w:szCs w:val="28"/>
          <w:u w:val="single"/>
          <w:lang w:val="en-GB" w:eastAsia="fr-FR"/>
        </w:rPr>
        <w:t>Phasing Analysis Extraction</w:t>
      </w:r>
    </w:p>
    <w:p w:rsidR="009B0B85" w:rsidRDefault="00015C63" w:rsidP="00015C63">
      <w:pPr>
        <w:spacing w:after="0" w:line="240" w:lineRule="auto"/>
        <w:rPr>
          <w:rFonts w:ascii="Arial" w:eastAsia="Times New Roman" w:hAnsi="Arial" w:cs="Arial"/>
          <w:b/>
          <w:bCs/>
          <w:sz w:val="28"/>
          <w:szCs w:val="28"/>
          <w:u w:val="single"/>
          <w:lang w:val="en-GB" w:eastAsia="fr-FR"/>
        </w:rPr>
      </w:pPr>
      <w:r w:rsidRPr="00015C63">
        <w:rPr>
          <w:rFonts w:ascii="Arial" w:eastAsia="Times New Roman" w:hAnsi="Arial" w:cs="Arial"/>
          <w:sz w:val="28"/>
          <w:szCs w:val="28"/>
          <w:lang w:val="en-GB" w:eastAsia="fr-FR"/>
        </w:rPr>
        <w:br/>
        <w:t>Having completed the phasing analysis, THT extracts all of the cyclic model information, and stores it in the "current cyclic model".</w:t>
      </w:r>
      <w:r w:rsidRPr="00015C63">
        <w:rPr>
          <w:rFonts w:ascii="Arial" w:eastAsia="Times New Roman" w:hAnsi="Arial" w:cs="Arial"/>
          <w:sz w:val="28"/>
          <w:szCs w:val="28"/>
          <w:lang w:val="en-GB" w:eastAsia="fr-FR"/>
        </w:rPr>
        <w:br/>
      </w:r>
      <w:r w:rsidRPr="00015C63">
        <w:rPr>
          <w:rFonts w:ascii="Arial" w:eastAsia="Times New Roman" w:hAnsi="Arial" w:cs="Arial"/>
          <w:sz w:val="28"/>
          <w:szCs w:val="28"/>
          <w:lang w:val="en-GB" w:eastAsia="fr-FR"/>
        </w:rPr>
        <w:br/>
      </w:r>
      <w:r w:rsidRPr="00015C63">
        <w:rPr>
          <w:rFonts w:ascii="Arial" w:eastAsia="Times New Roman" w:hAnsi="Arial" w:cs="Arial"/>
          <w:b/>
          <w:bCs/>
          <w:sz w:val="28"/>
          <w:szCs w:val="28"/>
          <w:u w:val="single"/>
          <w:lang w:val="en-GB" w:eastAsia="fr-FR"/>
        </w:rPr>
        <w:t>Updating Analysis</w:t>
      </w: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br/>
        <w:t xml:space="preserve">If you save a chart in a workspace, THT stores the basic cyclic model information </w:t>
      </w:r>
      <w:r w:rsidRPr="00015C63">
        <w:rPr>
          <w:rFonts w:ascii="Arial" w:eastAsia="Times New Roman" w:hAnsi="Arial" w:cs="Arial"/>
          <w:sz w:val="28"/>
          <w:szCs w:val="28"/>
          <w:lang w:val="en-GB" w:eastAsia="fr-FR"/>
        </w:rPr>
        <w:lastRenderedPageBreak/>
        <w:t>(it doesn't store all 5 future models as a matter of interest, because this resulted in very large workspace files, and is unnecessary in my opinion).</w:t>
      </w:r>
      <w:r w:rsidRPr="00015C63">
        <w:rPr>
          <w:rFonts w:ascii="Arial" w:eastAsia="Times New Roman" w:hAnsi="Arial" w:cs="Arial"/>
          <w:sz w:val="28"/>
          <w:szCs w:val="28"/>
          <w:lang w:val="en-GB" w:eastAsia="fr-FR"/>
        </w:rPr>
        <w:br/>
      </w:r>
      <w:r w:rsidRPr="00015C63">
        <w:rPr>
          <w:rFonts w:ascii="Arial" w:eastAsia="Times New Roman" w:hAnsi="Arial" w:cs="Arial"/>
          <w:sz w:val="28"/>
          <w:szCs w:val="28"/>
          <w:lang w:val="en-GB" w:eastAsia="fr-FR"/>
        </w:rPr>
        <w:br/>
        <w:t xml:space="preserve">If you reopen that chart, with the same data, THT will </w:t>
      </w:r>
      <w:r w:rsidRPr="00015C63">
        <w:rPr>
          <w:rFonts w:ascii="Arial" w:eastAsia="Times New Roman" w:hAnsi="Arial" w:cs="Arial"/>
          <w:b/>
          <w:bCs/>
          <w:sz w:val="28"/>
          <w:szCs w:val="28"/>
          <w:lang w:val="en-GB" w:eastAsia="fr-FR"/>
        </w:rPr>
        <w:t xml:space="preserve">load </w:t>
      </w:r>
      <w:r w:rsidRPr="00015C63">
        <w:rPr>
          <w:rFonts w:ascii="Arial" w:eastAsia="Times New Roman" w:hAnsi="Arial" w:cs="Arial"/>
          <w:sz w:val="28"/>
          <w:szCs w:val="28"/>
          <w:lang w:val="en-GB" w:eastAsia="fr-FR"/>
        </w:rPr>
        <w:t>the analysis, but will not have available the 5 options of the future model, it will only present the best-rated of those models (which is the one you work with by default anyway).</w:t>
      </w:r>
      <w:r w:rsidRPr="00015C63">
        <w:rPr>
          <w:rFonts w:ascii="Arial" w:eastAsia="Times New Roman" w:hAnsi="Arial" w:cs="Arial"/>
          <w:sz w:val="28"/>
          <w:szCs w:val="28"/>
          <w:lang w:val="en-GB" w:eastAsia="fr-FR"/>
        </w:rPr>
        <w:br/>
      </w:r>
      <w:r w:rsidRPr="00015C63">
        <w:rPr>
          <w:rFonts w:ascii="Arial" w:eastAsia="Times New Roman" w:hAnsi="Arial" w:cs="Arial"/>
          <w:sz w:val="28"/>
          <w:szCs w:val="28"/>
          <w:lang w:val="en-GB" w:eastAsia="fr-FR"/>
        </w:rPr>
        <w:br/>
        <w:t xml:space="preserve">If you reopen the chart with updated data (in other words another day or a few days have been added to the data) then THT makes a decision as to whether to update the future model only, or the entire phasing analysis.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Most of the time it will only update the future model (which is why very long data series can be used, as you'll only have to sit through the full analysis every few weeks or months).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THT will </w:t>
      </w:r>
      <w:r w:rsidRPr="00015C63">
        <w:rPr>
          <w:rFonts w:ascii="Arial" w:eastAsia="Times New Roman" w:hAnsi="Arial" w:cs="Arial"/>
          <w:b/>
          <w:bCs/>
          <w:sz w:val="28"/>
          <w:szCs w:val="28"/>
          <w:lang w:val="en-GB" w:eastAsia="fr-FR"/>
        </w:rPr>
        <w:t>always</w:t>
      </w:r>
      <w:r w:rsidRPr="00015C63">
        <w:rPr>
          <w:rFonts w:ascii="Arial" w:eastAsia="Times New Roman" w:hAnsi="Arial" w:cs="Arial"/>
          <w:sz w:val="28"/>
          <w:szCs w:val="28"/>
          <w:lang w:val="en-GB" w:eastAsia="fr-FR"/>
        </w:rPr>
        <w:t xml:space="preserve"> update the future model if there is new data, because new data will change the future model substantially in some cases, until the phasing is correct.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The only times that THT will update the full analysis is if the new price information indicates that perhaps the phasing is incorrect (such as an overdue trough that hasn't happened, or price has fallen below a recent major trough which might be incorrectly phased).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For this reason it is recommended that you create charts which you update on a regular basis - that results in a better phasing analysis in most case than if you simply created a new chart every day, and performed a fresh analysis. </w:t>
      </w:r>
    </w:p>
    <w:p w:rsidR="009B0B85" w:rsidRDefault="009B0B85" w:rsidP="00015C63">
      <w:pPr>
        <w:spacing w:after="0" w:line="240" w:lineRule="auto"/>
        <w:rPr>
          <w:rFonts w:ascii="Arial" w:eastAsia="Times New Roman" w:hAnsi="Arial" w:cs="Arial"/>
          <w:sz w:val="28"/>
          <w:szCs w:val="28"/>
          <w:lang w:val="en-GB" w:eastAsia="fr-FR"/>
        </w:rPr>
      </w:pPr>
    </w:p>
    <w:p w:rsidR="009B0B85"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This is also why there are some small discrepancies between an updated analysis and a fresh analysis (that's a subject for a separate post).</w:t>
      </w:r>
      <w:r w:rsidRPr="00015C63">
        <w:rPr>
          <w:rFonts w:ascii="Arial" w:eastAsia="Times New Roman" w:hAnsi="Arial" w:cs="Arial"/>
          <w:sz w:val="28"/>
          <w:szCs w:val="28"/>
          <w:lang w:val="en-GB" w:eastAsia="fr-FR"/>
        </w:rPr>
        <w:br/>
      </w:r>
      <w:r w:rsidRPr="00015C63">
        <w:rPr>
          <w:rFonts w:ascii="Arial" w:eastAsia="Times New Roman" w:hAnsi="Arial" w:cs="Arial"/>
          <w:sz w:val="28"/>
          <w:szCs w:val="28"/>
          <w:lang w:val="en-GB" w:eastAsia="fr-FR"/>
        </w:rPr>
        <w:br/>
        <w:t>Of course there is lot more to THT's analysis (including FLD's, VTL's, Channels, FLD patterns, etc.), which I will cover in a future topic.</w:t>
      </w:r>
    </w:p>
    <w:p w:rsidR="009B0B85" w:rsidRDefault="009B0B85" w:rsidP="00015C63">
      <w:pPr>
        <w:spacing w:after="0" w:line="240" w:lineRule="auto"/>
        <w:rPr>
          <w:rFonts w:ascii="Arial" w:eastAsia="Times New Roman" w:hAnsi="Arial" w:cs="Arial"/>
          <w:sz w:val="28"/>
          <w:szCs w:val="28"/>
          <w:lang w:val="en-GB" w:eastAsia="fr-FR"/>
        </w:rPr>
      </w:pPr>
    </w:p>
    <w:p w:rsidR="00015C63" w:rsidRDefault="00015C63" w:rsidP="00015C63">
      <w:pPr>
        <w:spacing w:after="0" w:line="240" w:lineRule="auto"/>
        <w:rPr>
          <w:rFonts w:ascii="Arial" w:eastAsia="Times New Roman" w:hAnsi="Arial" w:cs="Arial"/>
          <w:sz w:val="28"/>
          <w:szCs w:val="28"/>
          <w:lang w:val="en-GB" w:eastAsia="fr-FR"/>
        </w:rPr>
      </w:pPr>
      <w:r w:rsidRPr="00015C63">
        <w:rPr>
          <w:rFonts w:ascii="Arial" w:eastAsia="Times New Roman" w:hAnsi="Arial" w:cs="Arial"/>
          <w:sz w:val="28"/>
          <w:szCs w:val="28"/>
          <w:lang w:val="en-GB" w:eastAsia="fr-FR"/>
        </w:rPr>
        <w:t xml:space="preserve"> I hope this post helps to explain the phasing analysis aspect of what THT does.</w:t>
      </w:r>
    </w:p>
    <w:p w:rsidR="00F8782F" w:rsidRDefault="00F8782F" w:rsidP="00015C63">
      <w:pPr>
        <w:spacing w:after="0" w:line="240" w:lineRule="auto"/>
        <w:rPr>
          <w:rFonts w:ascii="Arial" w:eastAsia="Times New Roman" w:hAnsi="Arial" w:cs="Arial"/>
          <w:sz w:val="28"/>
          <w:szCs w:val="28"/>
          <w:lang w:val="en-GB" w:eastAsia="fr-FR"/>
        </w:rPr>
      </w:pPr>
    </w:p>
    <w:p w:rsidR="00F8782F" w:rsidRPr="00015C63" w:rsidRDefault="00F8782F" w:rsidP="00015C63">
      <w:pPr>
        <w:spacing w:after="0" w:line="240" w:lineRule="auto"/>
        <w:rPr>
          <w:rFonts w:ascii="Arial" w:eastAsia="Times New Roman" w:hAnsi="Arial" w:cs="Arial"/>
          <w:sz w:val="28"/>
          <w:szCs w:val="28"/>
          <w:lang w:val="en-GB" w:eastAsia="fr-FR"/>
        </w:rPr>
      </w:pPr>
    </w:p>
    <w:p w:rsidR="00957BD4" w:rsidRPr="00015C63" w:rsidRDefault="00042A16">
      <w:pPr>
        <w:rPr>
          <w:lang w:val="en-GB"/>
        </w:rPr>
      </w:pPr>
    </w:p>
    <w:sectPr w:rsidR="00957BD4" w:rsidRPr="00015C63" w:rsidSect="009B0B85">
      <w:footerReference w:type="default" r:id="rId12"/>
      <w:pgSz w:w="11906" w:h="16838"/>
      <w:pgMar w:top="851" w:right="851" w:bottom="851"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6567" w:rsidRDefault="009D6567" w:rsidP="00FF2BD2">
      <w:pPr>
        <w:spacing w:after="0" w:line="240" w:lineRule="auto"/>
      </w:pPr>
      <w:r>
        <w:separator/>
      </w:r>
    </w:p>
  </w:endnote>
  <w:endnote w:type="continuationSeparator" w:id="1">
    <w:p w:rsidR="009D6567" w:rsidRDefault="009D6567" w:rsidP="00FF2BD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69932"/>
      <w:docPartObj>
        <w:docPartGallery w:val="Page Numbers (Bottom of Page)"/>
        <w:docPartUnique/>
      </w:docPartObj>
    </w:sdtPr>
    <w:sdtContent>
      <w:p w:rsidR="00FF2BD2" w:rsidRDefault="00084922">
        <w:pPr>
          <w:pStyle w:val="Pieddepage"/>
          <w:jc w:val="right"/>
        </w:pPr>
        <w:fldSimple w:instr=" PAGE   \* MERGEFORMAT ">
          <w:r w:rsidR="00042A16">
            <w:rPr>
              <w:noProof/>
            </w:rPr>
            <w:t>7</w:t>
          </w:r>
        </w:fldSimple>
        <w:r w:rsidR="00FF2BD2">
          <w:t> /7</w:t>
        </w:r>
      </w:p>
    </w:sdtContent>
  </w:sdt>
  <w:p w:rsidR="00FF2BD2" w:rsidRDefault="00FF2BD2">
    <w:pPr>
      <w:pStyle w:val="Pieddepage"/>
    </w:pPr>
    <w:r>
      <w:t xml:space="preserve">How THT </w:t>
    </w:r>
    <w:proofErr w:type="spellStart"/>
    <w:r>
      <w:t>does</w:t>
    </w:r>
    <w:proofErr w:type="spellEnd"/>
    <w:r>
      <w:t xml:space="preserve"> Phasing </w:t>
    </w:r>
    <w:proofErr w:type="spellStart"/>
    <w:r>
      <w:t>Analysis</w:t>
    </w:r>
    <w:proofErr w:type="spellEnd"/>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6567" w:rsidRDefault="009D6567" w:rsidP="00FF2BD2">
      <w:pPr>
        <w:spacing w:after="0" w:line="240" w:lineRule="auto"/>
      </w:pPr>
      <w:r>
        <w:separator/>
      </w:r>
    </w:p>
  </w:footnote>
  <w:footnote w:type="continuationSeparator" w:id="1">
    <w:p w:rsidR="009D6567" w:rsidRDefault="009D6567" w:rsidP="00FF2BD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75C3F"/>
    <w:multiLevelType w:val="multilevel"/>
    <w:tmpl w:val="03EE1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210081"/>
    <w:multiLevelType w:val="multilevel"/>
    <w:tmpl w:val="23CA5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1E4F80"/>
    <w:multiLevelType w:val="multilevel"/>
    <w:tmpl w:val="3EF0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BD3540"/>
    <w:multiLevelType w:val="multilevel"/>
    <w:tmpl w:val="3DC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B1660A7"/>
    <w:multiLevelType w:val="multilevel"/>
    <w:tmpl w:val="655E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015C63"/>
    <w:rsid w:val="00015C63"/>
    <w:rsid w:val="00042A16"/>
    <w:rsid w:val="00084922"/>
    <w:rsid w:val="001C323E"/>
    <w:rsid w:val="00473785"/>
    <w:rsid w:val="0066122B"/>
    <w:rsid w:val="00866A0E"/>
    <w:rsid w:val="009B0B85"/>
    <w:rsid w:val="009D6567"/>
    <w:rsid w:val="00B71A40"/>
    <w:rsid w:val="00C04EE8"/>
    <w:rsid w:val="00F8782F"/>
    <w:rsid w:val="00FF2BD2"/>
    <w:rsid w:val="00FF32C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23E"/>
  </w:style>
  <w:style w:type="paragraph" w:styleId="Titre3">
    <w:name w:val="heading 3"/>
    <w:basedOn w:val="Normal"/>
    <w:link w:val="Titre3Car"/>
    <w:uiPriority w:val="9"/>
    <w:qFormat/>
    <w:rsid w:val="00015C63"/>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015C63"/>
    <w:rPr>
      <w:rFonts w:ascii="Times New Roman" w:eastAsia="Times New Roman" w:hAnsi="Times New Roman" w:cs="Times New Roman"/>
      <w:b/>
      <w:bCs/>
      <w:sz w:val="27"/>
      <w:szCs w:val="27"/>
      <w:lang w:eastAsia="fr-FR"/>
    </w:rPr>
  </w:style>
  <w:style w:type="character" w:styleId="Lienhypertexte">
    <w:name w:val="Hyperlink"/>
    <w:basedOn w:val="Policepardfaut"/>
    <w:uiPriority w:val="99"/>
    <w:semiHidden/>
    <w:unhideWhenUsed/>
    <w:rsid w:val="00015C63"/>
    <w:rPr>
      <w:color w:val="0000FF"/>
      <w:u w:val="single"/>
    </w:rPr>
  </w:style>
  <w:style w:type="paragraph" w:customStyle="1" w:styleId="author">
    <w:name w:val="author"/>
    <w:basedOn w:val="Normal"/>
    <w:rsid w:val="00015C6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015C63"/>
    <w:rPr>
      <w:b/>
      <w:bCs/>
    </w:rPr>
  </w:style>
  <w:style w:type="paragraph" w:styleId="Textedebulles">
    <w:name w:val="Balloon Text"/>
    <w:basedOn w:val="Normal"/>
    <w:link w:val="TextedebullesCar"/>
    <w:uiPriority w:val="99"/>
    <w:semiHidden/>
    <w:unhideWhenUsed/>
    <w:rsid w:val="00015C6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15C63"/>
    <w:rPr>
      <w:rFonts w:ascii="Tahoma" w:hAnsi="Tahoma" w:cs="Tahoma"/>
      <w:sz w:val="16"/>
      <w:szCs w:val="16"/>
    </w:rPr>
  </w:style>
  <w:style w:type="paragraph" w:styleId="En-tte">
    <w:name w:val="header"/>
    <w:basedOn w:val="Normal"/>
    <w:link w:val="En-tteCar"/>
    <w:uiPriority w:val="99"/>
    <w:semiHidden/>
    <w:unhideWhenUsed/>
    <w:rsid w:val="00FF2BD2"/>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FF2BD2"/>
  </w:style>
  <w:style w:type="paragraph" w:styleId="Pieddepage">
    <w:name w:val="footer"/>
    <w:basedOn w:val="Normal"/>
    <w:link w:val="PieddepageCar"/>
    <w:uiPriority w:val="99"/>
    <w:unhideWhenUsed/>
    <w:rsid w:val="00FF2BD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F2BD2"/>
  </w:style>
</w:styles>
</file>

<file path=word/webSettings.xml><?xml version="1.0" encoding="utf-8"?>
<w:webSettings xmlns:r="http://schemas.openxmlformats.org/officeDocument/2006/relationships" xmlns:w="http://schemas.openxmlformats.org/wordprocessingml/2006/main">
  <w:divs>
    <w:div w:id="759764055">
      <w:bodyDiv w:val="1"/>
      <w:marLeft w:val="0"/>
      <w:marRight w:val="0"/>
      <w:marTop w:val="0"/>
      <w:marBottom w:val="0"/>
      <w:divBdr>
        <w:top w:val="none" w:sz="0" w:space="0" w:color="auto"/>
        <w:left w:val="none" w:sz="0" w:space="0" w:color="auto"/>
        <w:bottom w:val="none" w:sz="0" w:space="0" w:color="auto"/>
        <w:right w:val="none" w:sz="0" w:space="0" w:color="auto"/>
      </w:divBdr>
      <w:divsChild>
        <w:div w:id="309406287">
          <w:marLeft w:val="0"/>
          <w:marRight w:val="0"/>
          <w:marTop w:val="0"/>
          <w:marBottom w:val="0"/>
          <w:divBdr>
            <w:top w:val="none" w:sz="0" w:space="0" w:color="auto"/>
            <w:left w:val="none" w:sz="0" w:space="0" w:color="auto"/>
            <w:bottom w:val="none" w:sz="0" w:space="0" w:color="auto"/>
            <w:right w:val="none" w:sz="0" w:space="0" w:color="auto"/>
          </w:divBdr>
          <w:divsChild>
            <w:div w:id="1082532260">
              <w:marLeft w:val="0"/>
              <w:marRight w:val="0"/>
              <w:marTop w:val="0"/>
              <w:marBottom w:val="0"/>
              <w:divBdr>
                <w:top w:val="none" w:sz="0" w:space="0" w:color="auto"/>
                <w:left w:val="none" w:sz="0" w:space="0" w:color="auto"/>
                <w:bottom w:val="none" w:sz="0" w:space="0" w:color="auto"/>
                <w:right w:val="none" w:sz="0" w:space="0" w:color="auto"/>
              </w:divBdr>
              <w:divsChild>
                <w:div w:id="2121948855">
                  <w:marLeft w:val="0"/>
                  <w:marRight w:val="0"/>
                  <w:marTop w:val="0"/>
                  <w:marBottom w:val="0"/>
                  <w:divBdr>
                    <w:top w:val="none" w:sz="0" w:space="0" w:color="auto"/>
                    <w:left w:val="none" w:sz="0" w:space="0" w:color="auto"/>
                    <w:bottom w:val="none" w:sz="0" w:space="0" w:color="auto"/>
                    <w:right w:val="none" w:sz="0" w:space="0" w:color="auto"/>
                  </w:divBdr>
                  <w:divsChild>
                    <w:div w:id="2002997761">
                      <w:marLeft w:val="0"/>
                      <w:marRight w:val="0"/>
                      <w:marTop w:val="0"/>
                      <w:marBottom w:val="0"/>
                      <w:divBdr>
                        <w:top w:val="none" w:sz="0" w:space="0" w:color="auto"/>
                        <w:left w:val="none" w:sz="0" w:space="0" w:color="auto"/>
                        <w:bottom w:val="none" w:sz="0" w:space="0" w:color="auto"/>
                        <w:right w:val="none" w:sz="0" w:space="0" w:color="auto"/>
                      </w:divBdr>
                      <w:divsChild>
                        <w:div w:id="909585787">
                          <w:marLeft w:val="0"/>
                          <w:marRight w:val="0"/>
                          <w:marTop w:val="0"/>
                          <w:marBottom w:val="0"/>
                          <w:divBdr>
                            <w:top w:val="none" w:sz="0" w:space="0" w:color="auto"/>
                            <w:left w:val="none" w:sz="0" w:space="0" w:color="auto"/>
                            <w:bottom w:val="none" w:sz="0" w:space="0" w:color="auto"/>
                            <w:right w:val="none" w:sz="0" w:space="0" w:color="auto"/>
                          </w:divBdr>
                          <w:divsChild>
                            <w:div w:id="301037091">
                              <w:marLeft w:val="0"/>
                              <w:marRight w:val="0"/>
                              <w:marTop w:val="0"/>
                              <w:marBottom w:val="0"/>
                              <w:divBdr>
                                <w:top w:val="none" w:sz="0" w:space="0" w:color="auto"/>
                                <w:left w:val="none" w:sz="0" w:space="0" w:color="auto"/>
                                <w:bottom w:val="none" w:sz="0" w:space="0" w:color="auto"/>
                                <w:right w:val="none" w:sz="0" w:space="0" w:color="auto"/>
                              </w:divBdr>
                            </w:div>
                          </w:divsChild>
                        </w:div>
                        <w:div w:id="42581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196999">
                  <w:marLeft w:val="0"/>
                  <w:marRight w:val="0"/>
                  <w:marTop w:val="0"/>
                  <w:marBottom w:val="0"/>
                  <w:divBdr>
                    <w:top w:val="none" w:sz="0" w:space="0" w:color="auto"/>
                    <w:left w:val="none" w:sz="0" w:space="0" w:color="auto"/>
                    <w:bottom w:val="none" w:sz="0" w:space="0" w:color="auto"/>
                    <w:right w:val="none" w:sz="0" w:space="0" w:color="auto"/>
                  </w:divBdr>
                  <w:divsChild>
                    <w:div w:id="1634825507">
                      <w:marLeft w:val="0"/>
                      <w:marRight w:val="0"/>
                      <w:marTop w:val="0"/>
                      <w:marBottom w:val="0"/>
                      <w:divBdr>
                        <w:top w:val="none" w:sz="0" w:space="0" w:color="auto"/>
                        <w:left w:val="none" w:sz="0" w:space="0" w:color="auto"/>
                        <w:bottom w:val="none" w:sz="0" w:space="0" w:color="auto"/>
                        <w:right w:val="none" w:sz="0" w:space="0" w:color="auto"/>
                      </w:divBdr>
                      <w:divsChild>
                        <w:div w:id="747845375">
                          <w:marLeft w:val="0"/>
                          <w:marRight w:val="0"/>
                          <w:marTop w:val="0"/>
                          <w:marBottom w:val="0"/>
                          <w:divBdr>
                            <w:top w:val="none" w:sz="0" w:space="0" w:color="auto"/>
                            <w:left w:val="none" w:sz="0" w:space="0" w:color="auto"/>
                            <w:bottom w:val="none" w:sz="0" w:space="0" w:color="auto"/>
                            <w:right w:val="none" w:sz="0" w:space="0" w:color="auto"/>
                          </w:divBdr>
                          <w:divsChild>
                            <w:div w:id="85210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tuna.co.za/forum/viewtopic.php?p=267#p26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fortuna.co.za/forum/viewtopic.php?f=3&amp;t=73"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ortuna.co.za/forum/viewtopic.php?f=3&amp;t=40" TargetMode="External"/><Relationship Id="rId5" Type="http://schemas.openxmlformats.org/officeDocument/2006/relationships/footnotes" Target="footnotes.xml"/><Relationship Id="rId10" Type="http://schemas.openxmlformats.org/officeDocument/2006/relationships/hyperlink" Target="http://www.fortuna.co.za/forum/memberlist.php?mode=viewprofile&amp;u=2" TargetMode="External"/><Relationship Id="rId4" Type="http://schemas.openxmlformats.org/officeDocument/2006/relationships/webSettings" Target="webSettings.xml"/><Relationship Id="rId9" Type="http://schemas.openxmlformats.org/officeDocument/2006/relationships/image" Target="media/image1.gif"/><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2224</Words>
  <Characters>12235</Characters>
  <Application>Microsoft Office Word</Application>
  <DocSecurity>0</DocSecurity>
  <Lines>101</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alain vauthier</dc:creator>
  <cp:lastModifiedBy>darty</cp:lastModifiedBy>
  <cp:revision>2</cp:revision>
  <cp:lastPrinted>2009-08-04T19:08:00Z</cp:lastPrinted>
  <dcterms:created xsi:type="dcterms:W3CDTF">2021-04-14T11:49:00Z</dcterms:created>
  <dcterms:modified xsi:type="dcterms:W3CDTF">2021-04-14T11:49:00Z</dcterms:modified>
</cp:coreProperties>
</file>