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ff0000"/>
          <w:sz w:val="36"/>
          <w:szCs w:val="36"/>
          <w:highlight w:val="white"/>
          <w:u w:val="single"/>
        </w:rPr>
      </w:pPr>
      <w:r w:rsidDel="00000000" w:rsidR="00000000" w:rsidRPr="00000000">
        <w:rPr>
          <w:b w:val="1"/>
          <w:color w:val="ff0000"/>
          <w:sz w:val="36"/>
          <w:szCs w:val="36"/>
          <w:highlight w:val="white"/>
          <w:u w:val="single"/>
          <w:rtl w:val="0"/>
        </w:rPr>
        <w:t xml:space="preserve">Asian shares at near three-year peak; dollar, U.S. yields head south</w:t>
      </w:r>
    </w:p>
    <w:p w:rsidR="00000000" w:rsidDel="00000000" w:rsidP="00000000" w:rsidRDefault="00000000" w:rsidRPr="00000000" w14:paraId="00000002">
      <w:pPr>
        <w:spacing w:line="276" w:lineRule="auto"/>
        <w:rPr>
          <w:b w:val="1"/>
          <w:color w:val="333333"/>
          <w:sz w:val="51"/>
          <w:szCs w:val="51"/>
          <w:highlight w:val="white"/>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sz w:val="28"/>
          <w:szCs w:val="28"/>
          <w:highlight w:val="white"/>
          <w:rtl w:val="0"/>
        </w:rPr>
        <w:t xml:space="preserve">A gauge of Asian shares rallied to a near three-year peak while the dollar stayed sluggish and U.S. bond yields slipped on Friday in anticipation that a divided U.S. legislature would limit major policy changes and keep the status quo on economic policies.</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sz w:val="28"/>
          <w:szCs w:val="28"/>
          <w:highlight w:val="white"/>
          <w:rtl w:val="0"/>
        </w:rPr>
        <w:t xml:space="preserve">Investors expect Democrat Joe Biden to beat President Donald Trump and the Republicans to retain control of the Senate, allowing them to block the Democrats' agenda, such as corporate tax hikes and massive borrowing for large spending.</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shd w:fill="f2f2f2" w:val="clear"/>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sz w:val="28"/>
          <w:szCs w:val="28"/>
          <w:shd w:fill="f2f2f2" w:val="clear"/>
          <w:rtl w:val="0"/>
        </w:rPr>
        <w:t xml:space="preserve">Japan’s NIKKEI 225 </w:t>
      </w:r>
      <w:r w:rsidDel="00000000" w:rsidR="00000000" w:rsidRPr="00000000">
        <w:rPr>
          <w:sz w:val="28"/>
          <w:szCs w:val="28"/>
          <w:highlight w:val="white"/>
          <w:rtl w:val="0"/>
        </w:rPr>
        <w:t xml:space="preserve">average rose 0.7% to almost its best level in 30 years while MSCI's broadest gauge of Asian Pacific shares outside Japan rose 0.3%.</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sz w:val="28"/>
          <w:szCs w:val="28"/>
          <w:highlight w:val="white"/>
          <w:rtl w:val="0"/>
        </w:rPr>
        <w:t xml:space="preserve">U.S. S&amp;P futures dropped 0.3% in early Asian trade, a day after the underlying stock index rose 1.95%.U.S. Treasury yields drifted lower again as investors bet that a divided U.S. government will cap debt-funded government spending and limit bond supply.</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sz w:val="28"/>
          <w:szCs w:val="28"/>
          <w:highlight w:val="white"/>
          <w:rtl w:val="0"/>
        </w:rPr>
        <w:t xml:space="preserve">Ten-year Treasury yield edged lower to 0.773%, more than 150 basis points below the pre-U.S. election level seen on Tuesday. It had struck a three-week low of 0.7180% on Thursday.</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before="220" w:line="276" w:lineRule="auto"/>
        <w:rPr>
          <w:sz w:val="28"/>
          <w:szCs w:val="28"/>
          <w:highlight w:val="white"/>
        </w:rPr>
      </w:pPr>
      <w:r w:rsidDel="00000000" w:rsidR="00000000" w:rsidRPr="00000000">
        <w:rPr>
          <w:rtl w:val="0"/>
        </w:rPr>
      </w:r>
    </w:p>
    <w:p w:rsidR="00000000" w:rsidDel="00000000" w:rsidP="00000000" w:rsidRDefault="00000000" w:rsidRPr="00000000" w14:paraId="0000000C">
      <w:pPr>
        <w:spacing w:line="276" w:lineRule="auto"/>
        <w:rPr>
          <w:sz w:val="28"/>
          <w:szCs w:val="28"/>
          <w:highlight w:val="white"/>
        </w:rPr>
      </w:pPr>
      <w:r w:rsidDel="00000000" w:rsidR="00000000" w:rsidRPr="00000000">
        <w:rPr>
          <w:rtl w:val="0"/>
        </w:rPr>
      </w:r>
    </w:p>
    <w:p w:rsidR="00000000" w:rsidDel="00000000" w:rsidP="00000000" w:rsidRDefault="00000000" w:rsidRPr="00000000" w14:paraId="0000000D">
      <w:pPr>
        <w:spacing w:line="276" w:lineRule="auto"/>
        <w:rPr>
          <w:sz w:val="28"/>
          <w:szCs w:val="28"/>
          <w:highlight w:val="white"/>
        </w:rPr>
      </w:pPr>
      <w:r w:rsidDel="00000000" w:rsidR="00000000" w:rsidRPr="00000000">
        <w:rPr>
          <w:rtl w:val="0"/>
        </w:rPr>
      </w:r>
    </w:p>
    <w:p w:rsidR="00000000" w:rsidDel="00000000" w:rsidP="00000000" w:rsidRDefault="00000000" w:rsidRPr="00000000" w14:paraId="0000000E">
      <w:pPr>
        <w:spacing w:line="276" w:lineRule="auto"/>
        <w:rPr>
          <w:b w:val="1"/>
          <w:sz w:val="32"/>
          <w:szCs w:val="32"/>
          <w:u w:val="single"/>
        </w:rPr>
      </w:pPr>
      <w:r w:rsidDel="00000000" w:rsidR="00000000" w:rsidRPr="00000000">
        <w:rPr>
          <w:b w:val="1"/>
          <w:sz w:val="32"/>
          <w:szCs w:val="32"/>
          <w:u w:val="single"/>
          <w:rtl w:val="0"/>
        </w:rPr>
        <w:t xml:space="preserve">The Tokyo market’s index  Nikkei 225 closed UP by 0.99% at 24,345.90 and the topix 100 closed at 0.41% to 1060.91 higher .Hong Kong’s Hang Seng index was down by 0.22 % to 25,632.05. Mainland Chinese stocks also edged lower  today, as the Shanghai composite climbed down   by 0.71% to about 3,296.05. South Korea’s Kospi climbed down  by 0.02% to 2,414.89.</w:t>
      </w:r>
    </w:p>
    <w:p w:rsidR="00000000" w:rsidDel="00000000" w:rsidP="00000000" w:rsidRDefault="00000000" w:rsidRPr="00000000" w14:paraId="0000000F">
      <w:pPr>
        <w:spacing w:line="276" w:lineRule="auto"/>
        <w:rPr>
          <w:b w:val="1"/>
          <w:sz w:val="32"/>
          <w:szCs w:val="32"/>
          <w:u w:val="single"/>
        </w:rPr>
      </w:pPr>
      <w:r w:rsidDel="00000000" w:rsidR="00000000" w:rsidRPr="00000000">
        <w:rPr>
          <w:rtl w:val="0"/>
        </w:rPr>
      </w:r>
    </w:p>
    <w:p w:rsidR="00000000" w:rsidDel="00000000" w:rsidP="00000000" w:rsidRDefault="00000000" w:rsidRPr="00000000" w14:paraId="00000010">
      <w:pPr>
        <w:spacing w:line="276" w:lineRule="auto"/>
        <w:rPr>
          <w:b w:val="1"/>
          <w:sz w:val="32"/>
          <w:szCs w:val="32"/>
          <w:u w:val="single"/>
        </w:rPr>
      </w:pPr>
      <w:r w:rsidDel="00000000" w:rsidR="00000000" w:rsidRPr="00000000">
        <w:rPr>
          <w:b w:val="1"/>
          <w:sz w:val="32"/>
          <w:szCs w:val="32"/>
          <w:u w:val="single"/>
          <w:rtl w:val="0"/>
        </w:rPr>
        <w:t xml:space="preserve">Shares in Australia also saw gain,, with the S&amp;P/ASX 200 inched up by 0.58% to 6,128.90, at the time of writing.</w:t>
      </w:r>
    </w:p>
    <w:p w:rsidR="00000000" w:rsidDel="00000000" w:rsidP="00000000" w:rsidRDefault="00000000" w:rsidRPr="00000000" w14:paraId="00000011">
      <w:pPr>
        <w:spacing w:line="276" w:lineRule="auto"/>
        <w:rPr>
          <w:b w:val="1"/>
          <w:sz w:val="32"/>
          <w:szCs w:val="32"/>
          <w:u w:val="single"/>
        </w:rPr>
      </w:pPr>
      <w:r w:rsidDel="00000000" w:rsidR="00000000" w:rsidRPr="00000000">
        <w:rPr>
          <w:rtl w:val="0"/>
        </w:rPr>
      </w:r>
    </w:p>
    <w:p w:rsidR="00000000" w:rsidDel="00000000" w:rsidP="00000000" w:rsidRDefault="00000000" w:rsidRPr="00000000" w14:paraId="00000012">
      <w:pPr>
        <w:spacing w:line="276" w:lineRule="auto"/>
        <w:rPr>
          <w:sz w:val="28"/>
          <w:szCs w:val="28"/>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before="220" w:lineRule="auto"/>
        <w:jc w:val="both"/>
        <w:rPr>
          <w:sz w:val="28"/>
          <w:szCs w:val="28"/>
          <w:highlight w:val="white"/>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before="220" w:lineRule="auto"/>
        <w:jc w:val="both"/>
        <w:rPr>
          <w:sz w:val="28"/>
          <w:szCs w:val="28"/>
          <w:highlight w:val="white"/>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16">
      <w:pPr>
        <w:jc w:val="both"/>
        <w:rPr>
          <w:color w:val="333333"/>
          <w:sz w:val="28"/>
          <w:szCs w:val="28"/>
          <w:highlight w:val="white"/>
        </w:rPr>
      </w:pPr>
      <w:r w:rsidDel="00000000" w:rsidR="00000000" w:rsidRPr="00000000">
        <w:rPr>
          <w:rtl w:val="0"/>
        </w:rPr>
      </w:r>
    </w:p>
    <w:p w:rsidR="00000000" w:rsidDel="00000000" w:rsidP="00000000" w:rsidRDefault="00000000" w:rsidRPr="00000000" w14:paraId="00000017">
      <w:pPr>
        <w:spacing w:after="300" w:before="300" w:lineRule="auto"/>
        <w:jc w:val="both"/>
        <w:rPr>
          <w:b w:val="1"/>
          <w:color w:val="ff0000"/>
          <w:sz w:val="48"/>
          <w:szCs w:val="48"/>
        </w:rPr>
      </w:pPr>
      <w:r w:rsidDel="00000000" w:rsidR="00000000" w:rsidRPr="00000000">
        <w:rPr>
          <w:b w:val="1"/>
          <w:color w:val="ff0000"/>
          <w:sz w:val="48"/>
          <w:szCs w:val="48"/>
          <w:rtl w:val="0"/>
        </w:rPr>
        <w:t xml:space="preserve">KOSPI</w:t>
      </w:r>
    </w:p>
    <w:tbl>
      <w:tblPr>
        <w:tblStyle w:val="Table1"/>
        <w:tblW w:w="10920.0" w:type="dxa"/>
        <w:jc w:val="left"/>
        <w:tblInd w:w="-6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1140"/>
        <w:gridCol w:w="1620"/>
        <w:gridCol w:w="1935"/>
        <w:gridCol w:w="1755"/>
        <w:gridCol w:w="1485"/>
        <w:gridCol w:w="1575"/>
        <w:tblGridChange w:id="0">
          <w:tblGrid>
            <w:gridCol w:w="1410"/>
            <w:gridCol w:w="1140"/>
            <w:gridCol w:w="1620"/>
            <w:gridCol w:w="1935"/>
            <w:gridCol w:w="1755"/>
            <w:gridCol w:w="1485"/>
            <w:gridCol w:w="15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sz w:val="30"/>
                <w:szCs w:val="30"/>
              </w:rPr>
            </w:pPr>
            <w:r w:rsidDel="00000000" w:rsidR="00000000" w:rsidRPr="00000000">
              <w:rPr>
                <w:b w:val="1"/>
                <w:sz w:val="30"/>
                <w:szCs w:val="30"/>
                <w:rtl w:val="0"/>
              </w:rPr>
              <w:t xml:space="preserve">Indicator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sz w:val="30"/>
                <w:szCs w:val="30"/>
              </w:rPr>
            </w:pPr>
            <w:r w:rsidDel="00000000" w:rsidR="00000000" w:rsidRPr="00000000">
              <w:rPr>
                <w:b w:val="1"/>
                <w:sz w:val="30"/>
                <w:szCs w:val="30"/>
                <w:rtl w:val="0"/>
              </w:rPr>
              <w:t xml:space="preserve">RSI</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sz w:val="30"/>
                <w:szCs w:val="30"/>
              </w:rPr>
            </w:pPr>
            <w:r w:rsidDel="00000000" w:rsidR="00000000" w:rsidRPr="00000000">
              <w:rPr>
                <w:b w:val="1"/>
                <w:sz w:val="30"/>
                <w:szCs w:val="30"/>
                <w:rtl w:val="0"/>
              </w:rPr>
              <w:t xml:space="preserve">MA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sz w:val="30"/>
                <w:szCs w:val="30"/>
              </w:rPr>
            </w:pPr>
            <w:r w:rsidDel="00000000" w:rsidR="00000000" w:rsidRPr="00000000">
              <w:rPr>
                <w:b w:val="1"/>
                <w:sz w:val="30"/>
                <w:szCs w:val="30"/>
                <w:rtl w:val="0"/>
              </w:rPr>
              <w:t xml:space="preserve">MA(20)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color w:val="2a2a2a"/>
                <w:sz w:val="30"/>
                <w:szCs w:val="30"/>
              </w:rPr>
            </w:pPr>
            <w:r w:rsidDel="00000000" w:rsidR="00000000" w:rsidRPr="00000000">
              <w:rPr>
                <w:b w:val="1"/>
                <w:sz w:val="30"/>
                <w:szCs w:val="30"/>
                <w:rtl w:val="0"/>
              </w:rPr>
              <w:t xml:space="preserve">MA (50</w:t>
            </w:r>
            <w:r w:rsidDel="00000000" w:rsidR="00000000" w:rsidRPr="00000000">
              <w:rPr>
                <w:color w:val="2a2a2a"/>
                <w:sz w:val="30"/>
                <w:szCs w:val="30"/>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b w:val="1"/>
                <w:color w:val="2a2a2a"/>
                <w:sz w:val="30"/>
                <w:szCs w:val="30"/>
              </w:rPr>
            </w:pPr>
            <w:r w:rsidDel="00000000" w:rsidR="00000000" w:rsidRPr="00000000">
              <w:rPr>
                <w:b w:val="1"/>
                <w:color w:val="2a2a2a"/>
                <w:sz w:val="30"/>
                <w:szCs w:val="30"/>
                <w:rtl w:val="0"/>
              </w:rPr>
              <w:t xml:space="preserve">Bollinger</w:t>
            </w:r>
          </w:p>
          <w:p w:rsidR="00000000" w:rsidDel="00000000" w:rsidP="00000000" w:rsidRDefault="00000000" w:rsidRPr="00000000" w14:paraId="0000001E">
            <w:pPr>
              <w:widowControl w:val="0"/>
              <w:spacing w:line="240" w:lineRule="auto"/>
              <w:rPr>
                <w:b w:val="1"/>
                <w:color w:val="2a2a2a"/>
                <w:sz w:val="30"/>
                <w:szCs w:val="30"/>
              </w:rPr>
            </w:pPr>
            <w:r w:rsidDel="00000000" w:rsidR="00000000" w:rsidRPr="00000000">
              <w:rPr>
                <w:b w:val="1"/>
                <w:color w:val="2a2a2a"/>
                <w:sz w:val="30"/>
                <w:szCs w:val="30"/>
                <w:rtl w:val="0"/>
              </w:rPr>
              <w:t xml:space="preserve">(U,M,L)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b w:val="1"/>
                <w:sz w:val="24"/>
                <w:szCs w:val="24"/>
              </w:rPr>
            </w:pPr>
            <w:r w:rsidDel="00000000" w:rsidR="00000000" w:rsidRPr="00000000">
              <w:rPr>
                <w:b w:val="1"/>
                <w:sz w:val="24"/>
                <w:szCs w:val="24"/>
                <w:rtl w:val="0"/>
              </w:rPr>
              <w:t xml:space="preserve">Stochastic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b w:val="1"/>
                <w:sz w:val="30"/>
                <w:szCs w:val="30"/>
              </w:rPr>
            </w:pPr>
            <w:r w:rsidDel="00000000" w:rsidR="00000000" w:rsidRPr="00000000">
              <w:rPr>
                <w:b w:val="1"/>
                <w:sz w:val="30"/>
                <w:szCs w:val="30"/>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color w:val="2a2a2a"/>
                <w:sz w:val="30"/>
                <w:szCs w:val="30"/>
              </w:rPr>
            </w:pPr>
            <w:r w:rsidDel="00000000" w:rsidR="00000000" w:rsidRPr="00000000">
              <w:rPr>
                <w:color w:val="2a2a2a"/>
                <w:sz w:val="30"/>
                <w:szCs w:val="30"/>
                <w:rtl w:val="0"/>
              </w:rPr>
              <w:t xml:space="preserve">60.083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color w:val="2a2a2a"/>
                <w:sz w:val="30"/>
                <w:szCs w:val="30"/>
              </w:rPr>
            </w:pPr>
            <w:r w:rsidDel="00000000" w:rsidR="00000000" w:rsidRPr="00000000">
              <w:rPr>
                <w:color w:val="2a2a2a"/>
                <w:sz w:val="30"/>
                <w:szCs w:val="30"/>
                <w:rtl w:val="0"/>
              </w:rPr>
              <w:t xml:space="preserve">2365.65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color w:val="2a2a2a"/>
                <w:sz w:val="30"/>
                <w:szCs w:val="30"/>
              </w:rPr>
            </w:pPr>
            <w:r w:rsidDel="00000000" w:rsidR="00000000" w:rsidRPr="00000000">
              <w:rPr>
                <w:color w:val="2a2a2a"/>
                <w:sz w:val="30"/>
                <w:szCs w:val="30"/>
                <w:rtl w:val="0"/>
              </w:rPr>
              <w:t xml:space="preserve">2356.2735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color w:val="2a2a2a"/>
                <w:sz w:val="30"/>
                <w:szCs w:val="30"/>
              </w:rPr>
            </w:pPr>
            <w:r w:rsidDel="00000000" w:rsidR="00000000" w:rsidRPr="00000000">
              <w:rPr>
                <w:color w:val="2a2a2a"/>
                <w:sz w:val="30"/>
                <w:szCs w:val="30"/>
                <w:rtl w:val="0"/>
              </w:rPr>
              <w:t xml:space="preserve">2284.9423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color w:val="2a2a2a"/>
                <w:sz w:val="24"/>
                <w:szCs w:val="24"/>
              </w:rPr>
            </w:pPr>
            <w:r w:rsidDel="00000000" w:rsidR="00000000" w:rsidRPr="00000000">
              <w:rPr>
                <w:color w:val="2a2a2a"/>
                <w:sz w:val="24"/>
                <w:szCs w:val="24"/>
                <w:rtl w:val="0"/>
              </w:rPr>
              <w:t xml:space="preserve">U=2427.5128</w:t>
            </w:r>
          </w:p>
          <w:p w:rsidR="00000000" w:rsidDel="00000000" w:rsidP="00000000" w:rsidRDefault="00000000" w:rsidRPr="00000000" w14:paraId="00000026">
            <w:pPr>
              <w:widowControl w:val="0"/>
              <w:spacing w:line="240" w:lineRule="auto"/>
              <w:rPr>
                <w:color w:val="2a2a2a"/>
                <w:sz w:val="24"/>
                <w:szCs w:val="24"/>
              </w:rPr>
            </w:pPr>
            <w:r w:rsidDel="00000000" w:rsidR="00000000" w:rsidRPr="00000000">
              <w:rPr>
                <w:color w:val="2a2a2a"/>
                <w:sz w:val="24"/>
                <w:szCs w:val="24"/>
                <w:rtl w:val="0"/>
              </w:rPr>
              <w:t xml:space="preserve">M=2356.2735</w:t>
            </w:r>
          </w:p>
          <w:p w:rsidR="00000000" w:rsidDel="00000000" w:rsidP="00000000" w:rsidRDefault="00000000" w:rsidRPr="00000000" w14:paraId="00000027">
            <w:pPr>
              <w:widowControl w:val="0"/>
              <w:spacing w:line="240" w:lineRule="auto"/>
              <w:rPr>
                <w:color w:val="2a2a2a"/>
                <w:sz w:val="24"/>
                <w:szCs w:val="24"/>
              </w:rPr>
            </w:pPr>
            <w:r w:rsidDel="00000000" w:rsidR="00000000" w:rsidRPr="00000000">
              <w:rPr>
                <w:color w:val="2a2a2a"/>
                <w:sz w:val="24"/>
                <w:szCs w:val="24"/>
                <w:rtl w:val="0"/>
              </w:rPr>
              <w:t xml:space="preserve">L=2284.9423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color w:val="2a2a2a"/>
                <w:sz w:val="30"/>
                <w:szCs w:val="30"/>
              </w:rPr>
            </w:pPr>
            <w:r w:rsidDel="00000000" w:rsidR="00000000" w:rsidRPr="00000000">
              <w:rPr>
                <w:color w:val="2a2a2a"/>
                <w:sz w:val="30"/>
                <w:szCs w:val="30"/>
                <w:rtl w:val="0"/>
              </w:rPr>
              <w:t xml:space="preserve">%k=91.3406</w:t>
            </w:r>
          </w:p>
          <w:p w:rsidR="00000000" w:rsidDel="00000000" w:rsidP="00000000" w:rsidRDefault="00000000" w:rsidRPr="00000000" w14:paraId="00000029">
            <w:pPr>
              <w:widowControl w:val="0"/>
              <w:spacing w:line="240" w:lineRule="auto"/>
              <w:rPr>
                <w:color w:val="2a2a2a"/>
                <w:sz w:val="30"/>
                <w:szCs w:val="30"/>
              </w:rPr>
            </w:pPr>
            <w:r w:rsidDel="00000000" w:rsidR="00000000" w:rsidRPr="00000000">
              <w:rPr>
                <w:color w:val="2a2a2a"/>
                <w:sz w:val="30"/>
                <w:szCs w:val="30"/>
                <w:rtl w:val="0"/>
              </w:rPr>
              <w:t xml:space="preserve">%k=89.455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b w:val="1"/>
                <w:sz w:val="30"/>
                <w:szCs w:val="30"/>
              </w:rPr>
            </w:pPr>
            <w:r w:rsidDel="00000000" w:rsidR="00000000" w:rsidRPr="00000000">
              <w:rPr>
                <w:b w:val="1"/>
                <w:sz w:val="30"/>
                <w:szCs w:val="30"/>
                <w:rtl w:val="0"/>
              </w:rPr>
              <w:t xml:space="preserve">Comment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color w:val="2a2a2a"/>
                <w:sz w:val="30"/>
                <w:szCs w:val="30"/>
              </w:rPr>
            </w:pPr>
            <w:r w:rsidDel="00000000" w:rsidR="00000000" w:rsidRPr="00000000">
              <w:rPr>
                <w:color w:val="2a2a2a"/>
                <w:sz w:val="30"/>
                <w:szCs w:val="30"/>
                <w:rtl w:val="0"/>
              </w:rPr>
              <w:t xml:space="preserve">Buying  zone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color w:val="2a2a2a"/>
                <w:sz w:val="24"/>
                <w:szCs w:val="24"/>
              </w:rPr>
            </w:pPr>
            <w:r w:rsidDel="00000000" w:rsidR="00000000" w:rsidRPr="00000000">
              <w:rPr>
                <w:color w:val="2a2a2a"/>
                <w:sz w:val="24"/>
                <w:szCs w:val="24"/>
                <w:rtl w:val="0"/>
              </w:rPr>
              <w:t xml:space="preserve">Price above the moving average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color w:val="2a2a2a"/>
                <w:sz w:val="24"/>
                <w:szCs w:val="24"/>
              </w:rPr>
            </w:pPr>
            <w:r w:rsidDel="00000000" w:rsidR="00000000" w:rsidRPr="00000000">
              <w:rPr>
                <w:color w:val="2a2a2a"/>
                <w:sz w:val="24"/>
                <w:szCs w:val="24"/>
                <w:rtl w:val="0"/>
              </w:rPr>
              <w:t xml:space="preserve">Price Above the moving average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color w:val="2a2a2a"/>
                <w:sz w:val="30"/>
                <w:szCs w:val="30"/>
              </w:rPr>
            </w:pPr>
            <w:r w:rsidDel="00000000" w:rsidR="00000000" w:rsidRPr="00000000">
              <w:rPr>
                <w:color w:val="2a2a2a"/>
                <w:sz w:val="24"/>
                <w:szCs w:val="24"/>
                <w:rtl w:val="0"/>
              </w:rPr>
              <w:t xml:space="preserve">Price above the moving average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color w:val="2a2a2a"/>
                <w:sz w:val="24"/>
                <w:szCs w:val="24"/>
              </w:rPr>
            </w:pPr>
            <w:r w:rsidDel="00000000" w:rsidR="00000000" w:rsidRPr="00000000">
              <w:rPr>
                <w:color w:val="2a2a2a"/>
                <w:sz w:val="24"/>
                <w:szCs w:val="24"/>
                <w:rtl w:val="0"/>
              </w:rPr>
              <w:t xml:space="preserve">Price is below UB</w:t>
            </w:r>
          </w:p>
          <w:p w:rsidR="00000000" w:rsidDel="00000000" w:rsidP="00000000" w:rsidRDefault="00000000" w:rsidRPr="00000000" w14:paraId="00000030">
            <w:pPr>
              <w:widowControl w:val="0"/>
              <w:spacing w:line="240" w:lineRule="auto"/>
              <w:rPr>
                <w:color w:val="2a2a2a"/>
                <w:sz w:val="24"/>
                <w:szCs w:val="24"/>
              </w:rPr>
            </w:pPr>
            <w:r w:rsidDel="00000000" w:rsidR="00000000" w:rsidRPr="00000000">
              <w:rPr>
                <w:color w:val="2a2a2a"/>
                <w:sz w:val="24"/>
                <w:szCs w:val="24"/>
                <w:rtl w:val="0"/>
              </w:rPr>
              <w:t xml:space="preserve">Price is above MB</w:t>
            </w:r>
          </w:p>
          <w:p w:rsidR="00000000" w:rsidDel="00000000" w:rsidP="00000000" w:rsidRDefault="00000000" w:rsidRPr="00000000" w14:paraId="00000031">
            <w:pPr>
              <w:widowControl w:val="0"/>
              <w:spacing w:line="240" w:lineRule="auto"/>
              <w:rPr>
                <w:color w:val="2a2a2a"/>
                <w:sz w:val="24"/>
                <w:szCs w:val="24"/>
              </w:rPr>
            </w:pPr>
            <w:r w:rsidDel="00000000" w:rsidR="00000000" w:rsidRPr="00000000">
              <w:rPr>
                <w:color w:val="2a2a2a"/>
                <w:sz w:val="24"/>
                <w:szCs w:val="24"/>
                <w:rtl w:val="0"/>
              </w:rPr>
              <w:t xml:space="preserve">Price is above LB</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color w:val="2a2a2a"/>
                <w:sz w:val="30"/>
                <w:szCs w:val="30"/>
              </w:rPr>
            </w:pPr>
            <w:r w:rsidDel="00000000" w:rsidR="00000000" w:rsidRPr="00000000">
              <w:rPr>
                <w:color w:val="2a2a2a"/>
                <w:sz w:val="30"/>
                <w:szCs w:val="30"/>
                <w:rtl w:val="0"/>
              </w:rPr>
              <w:t xml:space="preserve">Crossover to the upper side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sz w:val="30"/>
                <w:szCs w:val="30"/>
              </w:rPr>
            </w:pPr>
            <w:r w:rsidDel="00000000" w:rsidR="00000000" w:rsidRPr="00000000">
              <w:rPr>
                <w:b w:val="1"/>
                <w:sz w:val="30"/>
                <w:szCs w:val="30"/>
                <w:rtl w:val="0"/>
              </w:rPr>
              <w:t xml:space="preserve">Trend</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color w:val="2a2a2a"/>
                <w:sz w:val="24"/>
                <w:szCs w:val="24"/>
              </w:rPr>
            </w:pPr>
            <w:r w:rsidDel="00000000" w:rsidR="00000000" w:rsidRPr="00000000">
              <w:rPr>
                <w:color w:val="2a2a2a"/>
                <w:sz w:val="24"/>
                <w:szCs w:val="24"/>
                <w:rtl w:val="0"/>
              </w:rPr>
              <w:t xml:space="preserve">Bullish</w:t>
            </w:r>
          </w:p>
        </w:tc>
        <w:tc>
          <w:tcPr>
            <w:shd w:fill="00ff00"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color w:val="2a2a2a"/>
                <w:sz w:val="24"/>
                <w:szCs w:val="24"/>
              </w:rPr>
            </w:pPr>
            <w:r w:rsidDel="00000000" w:rsidR="00000000" w:rsidRPr="00000000">
              <w:rPr>
                <w:color w:val="2a2a2a"/>
                <w:sz w:val="24"/>
                <w:szCs w:val="24"/>
                <w:rtl w:val="0"/>
              </w:rPr>
              <w:t xml:space="preserve">Bullish</w:t>
            </w:r>
          </w:p>
        </w:tc>
      </w:tr>
      <w:tr>
        <w:trPr>
          <w:trHeight w:val="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b w:val="1"/>
                <w:sz w:val="30"/>
                <w:szCs w:val="30"/>
              </w:rPr>
            </w:pPr>
            <w:r w:rsidDel="00000000" w:rsidR="00000000" w:rsidRPr="00000000">
              <w:rPr>
                <w:b w:val="1"/>
                <w:sz w:val="30"/>
                <w:szCs w:val="30"/>
                <w:rtl w:val="0"/>
              </w:rPr>
              <w:t xml:space="preserve">Special</w:t>
            </w:r>
          </w:p>
          <w:p w:rsidR="00000000" w:rsidDel="00000000" w:rsidP="00000000" w:rsidRDefault="00000000" w:rsidRPr="00000000" w14:paraId="0000003B">
            <w:pPr>
              <w:widowControl w:val="0"/>
              <w:spacing w:line="240" w:lineRule="auto"/>
              <w:rPr>
                <w:b w:val="1"/>
                <w:sz w:val="30"/>
                <w:szCs w:val="30"/>
              </w:rPr>
            </w:pPr>
            <w:r w:rsidDel="00000000" w:rsidR="00000000" w:rsidRPr="00000000">
              <w:rPr>
                <w:b w:val="1"/>
                <w:sz w:val="30"/>
                <w:szCs w:val="30"/>
                <w:rtl w:val="0"/>
              </w:rPr>
              <w:t xml:space="preserve">Notes</w:t>
            </w:r>
          </w:p>
        </w:tc>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color w:val="2a2a2a"/>
                <w:sz w:val="30"/>
                <w:szCs w:val="30"/>
              </w:rPr>
            </w:pPr>
            <w:r w:rsidDel="00000000" w:rsidR="00000000" w:rsidRPr="00000000">
              <w:rPr>
                <w:color w:val="2a2a2a"/>
                <w:sz w:val="30"/>
                <w:szCs w:val="30"/>
                <w:rtl w:val="0"/>
              </w:rPr>
              <w:t xml:space="preserve">The market is expected to move on the positive side. All the moving average are above the trading price.RSI too suggests market move on the upward direction.</w:t>
            </w:r>
          </w:p>
        </w:tc>
      </w:tr>
    </w:tbl>
    <w:p w:rsidR="00000000" w:rsidDel="00000000" w:rsidP="00000000" w:rsidRDefault="00000000" w:rsidRPr="00000000" w14:paraId="00000042">
      <w:pPr>
        <w:spacing w:after="300" w:before="300" w:lineRule="auto"/>
        <w:jc w:val="both"/>
        <w:rPr>
          <w:color w:val="333333"/>
          <w:sz w:val="30"/>
          <w:szCs w:val="30"/>
          <w:highlight w:val="white"/>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before="220" w:lineRule="auto"/>
        <w:jc w:val="both"/>
        <w:rPr>
          <w:color w:val="333333"/>
          <w:sz w:val="28"/>
          <w:szCs w:val="28"/>
          <w:highlight w:val="white"/>
        </w:rPr>
      </w:pPr>
      <w:r w:rsidDel="00000000" w:rsidR="00000000" w:rsidRPr="00000000">
        <w:rPr>
          <w:rtl w:val="0"/>
        </w:rPr>
      </w:r>
    </w:p>
    <w:p w:rsidR="00000000" w:rsidDel="00000000" w:rsidP="00000000" w:rsidRDefault="00000000" w:rsidRPr="00000000" w14:paraId="00000044">
      <w:pPr>
        <w:rPr>
          <w:b w:val="1"/>
          <w:color w:val="333333"/>
          <w:sz w:val="26"/>
          <w:szCs w:val="26"/>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