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ff0000"/>
          <w:sz w:val="36"/>
          <w:szCs w:val="36"/>
          <w:highlight w:val="white"/>
          <w:u w:val="single"/>
        </w:rPr>
      </w:pPr>
      <w:r w:rsidDel="00000000" w:rsidR="00000000" w:rsidRPr="00000000">
        <w:rPr>
          <w:b w:val="1"/>
          <w:color w:val="ff0000"/>
          <w:sz w:val="36"/>
          <w:szCs w:val="36"/>
          <w:highlight w:val="white"/>
          <w:u w:val="single"/>
          <w:rtl w:val="0"/>
        </w:rPr>
        <w:t xml:space="preserve">Asian Stocks Up, but Pare Earlier Gains Over Closer-Than-Expected U.S. Election</w:t>
      </w:r>
    </w:p>
    <w:p w:rsidR="00000000" w:rsidDel="00000000" w:rsidP="00000000" w:rsidRDefault="00000000" w:rsidRPr="00000000" w14:paraId="00000002">
      <w:pPr>
        <w:rPr>
          <w:b w:val="1"/>
          <w:color w:val="ff0000"/>
          <w:sz w:val="36"/>
          <w:szCs w:val="36"/>
          <w:highlight w:val="white"/>
          <w:u w:val="single"/>
        </w:rPr>
      </w:pPr>
      <w:r w:rsidDel="00000000" w:rsidR="00000000" w:rsidRPr="00000000">
        <w:rPr>
          <w:rtl w:val="0"/>
        </w:rPr>
      </w:r>
    </w:p>
    <w:p w:rsidR="00000000" w:rsidDel="00000000" w:rsidP="00000000" w:rsidRDefault="00000000" w:rsidRPr="00000000" w14:paraId="00000003">
      <w:pPr>
        <w:rPr>
          <w:b w:val="1"/>
          <w:color w:val="333333"/>
          <w:sz w:val="51"/>
          <w:szCs w:val="51"/>
          <w:highlight w:val="white"/>
        </w:rPr>
      </w:pPr>
      <w:r w:rsidDel="00000000" w:rsidR="00000000" w:rsidRPr="00000000">
        <w:rPr>
          <w:rtl w:val="0"/>
        </w:rPr>
      </w:r>
    </w:p>
    <w:p w:rsidR="00000000" w:rsidDel="00000000" w:rsidP="00000000" w:rsidRDefault="00000000" w:rsidRPr="00000000" w14:paraId="00000004">
      <w:pPr>
        <w:jc w:val="both"/>
        <w:rPr>
          <w:color w:val="333333"/>
          <w:sz w:val="28"/>
          <w:szCs w:val="28"/>
          <w:highlight w:val="white"/>
        </w:rPr>
      </w:pPr>
      <w:r w:rsidDel="00000000" w:rsidR="00000000" w:rsidRPr="00000000">
        <w:rPr>
          <w:color w:val="333333"/>
          <w:sz w:val="28"/>
          <w:szCs w:val="28"/>
          <w:highlight w:val="white"/>
          <w:rtl w:val="0"/>
        </w:rPr>
        <w:t xml:space="preserve">Asia Pacific stocks were mostly up on Wednesday morning, giving up some ground. Investors are on tenterhooks as votes are counted in the U.S. presidential election with no clear winner yet.</w:t>
      </w:r>
    </w:p>
    <w:p w:rsidR="00000000" w:rsidDel="00000000" w:rsidP="00000000" w:rsidRDefault="00000000" w:rsidRPr="00000000" w14:paraId="00000005">
      <w:pPr>
        <w:jc w:val="both"/>
        <w:rPr>
          <w:color w:val="333333"/>
          <w:sz w:val="28"/>
          <w:szCs w:val="28"/>
          <w:highlight w:val="white"/>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color w:val="333333"/>
          <w:sz w:val="28"/>
          <w:szCs w:val="28"/>
          <w:highlight w:val="white"/>
          <w:rtl w:val="0"/>
        </w:rPr>
        <w:t xml:space="preserve">There were wide expectations that Biden would lead a Democrat sweep in the White House, Senate and House of Representatives, reducing political risk and increasing the possibility of big stimulus packages to help the COVID-19-hit economy compared to a Trump re-election. However, these expectations were shaken with a closer race than expected and it could be several days before the result is announced. Trump won Indiana’s electoral votes, the first state to be decided.</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color w:val="333333"/>
          <w:sz w:val="28"/>
          <w:szCs w:val="28"/>
          <w:highlight w:val="white"/>
          <w:rtl w:val="0"/>
        </w:rPr>
        <w:t xml:space="preserve">In Australia, the ASX 100 was up 0.22% TO 6062, reversing earlier gains, despite the Reserve Bank of Australia (RBA) announcing a monetary policy on Tuesday including an interest rate cut to 0.10% from 0.25% and the purchase of AUD100 billion ($71.10 billion) worth of government bonds by the RBA board.</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color w:val="333333"/>
          <w:sz w:val="28"/>
          <w:szCs w:val="28"/>
          <w:highlight w:val="white"/>
          <w:rtl w:val="0"/>
        </w:rPr>
        <w:t xml:space="preserve">Hong Kong’s </w:t>
      </w:r>
      <w:r w:rsidDel="00000000" w:rsidR="00000000" w:rsidRPr="00000000">
        <w:rPr>
          <w:color w:val="333333"/>
          <w:sz w:val="28"/>
          <w:szCs w:val="28"/>
          <w:shd w:fill="f2f2f2" w:val="clear"/>
          <w:rtl w:val="0"/>
        </w:rPr>
        <w:t xml:space="preserve">Hang Seng Index</w:t>
      </w:r>
      <w:r w:rsidDel="00000000" w:rsidR="00000000" w:rsidRPr="00000000">
        <w:rPr>
          <w:color w:val="333333"/>
          <w:sz w:val="28"/>
          <w:szCs w:val="28"/>
          <w:highlight w:val="white"/>
          <w:rtl w:val="0"/>
        </w:rPr>
        <w:t xml:space="preserve"> gained 0.40% to 24957, recovering from the shock of Ant Group Co. halting both the Shanghai and Hong Kong legs of a planned $35 billion dual listing on Tuesday, after a meeting with Chinese regulators.</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color w:val="333333"/>
          <w:sz w:val="28"/>
          <w:szCs w:val="28"/>
          <w:highlight w:val="white"/>
          <w:rtl w:val="0"/>
        </w:rPr>
        <w:t xml:space="preserve">China’s Shanghai Composite rose 0.20% to 3276.08, while the </w:t>
      </w:r>
      <w:r w:rsidDel="00000000" w:rsidR="00000000" w:rsidRPr="00000000">
        <w:rPr>
          <w:color w:val="333333"/>
          <w:sz w:val="28"/>
          <w:szCs w:val="28"/>
          <w:shd w:fill="f2f2f2" w:val="clear"/>
          <w:rtl w:val="0"/>
        </w:rPr>
        <w:t xml:space="preserve">Shenzhen Composite </w:t>
      </w:r>
      <w:r w:rsidDel="00000000" w:rsidR="00000000" w:rsidRPr="00000000">
        <w:rPr>
          <w:color w:val="333333"/>
          <w:sz w:val="28"/>
          <w:szCs w:val="28"/>
          <w:highlight w:val="white"/>
          <w:rtl w:val="0"/>
        </w:rPr>
        <w:t xml:space="preserve">was down 0.25%. October's  Caixin Services Purchasing Manager  index rose to 56.8, according to data released earlier in the day. The reading is up from September's 54.8 figure.</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rtl w:val="0"/>
        </w:rPr>
      </w:r>
    </w:p>
    <w:p w:rsidR="00000000" w:rsidDel="00000000" w:rsidP="00000000" w:rsidRDefault="00000000" w:rsidRPr="00000000" w14:paraId="0000000C">
      <w:pPr>
        <w:jc w:val="both"/>
        <w:rPr>
          <w:color w:val="333333"/>
          <w:sz w:val="28"/>
          <w:szCs w:val="28"/>
          <w:highlight w:val="white"/>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color w:val="333333"/>
          <w:sz w:val="28"/>
          <w:szCs w:val="28"/>
          <w:highlight w:val="white"/>
          <w:rtl w:val="0"/>
        </w:rPr>
        <w:t xml:space="preserve">Japan’s </w:t>
      </w:r>
      <w:r w:rsidDel="00000000" w:rsidR="00000000" w:rsidRPr="00000000">
        <w:rPr>
          <w:color w:val="333333"/>
          <w:sz w:val="28"/>
          <w:szCs w:val="28"/>
          <w:shd w:fill="f2f2f2" w:val="clear"/>
          <w:rtl w:val="0"/>
        </w:rPr>
        <w:t xml:space="preserve">Nikkei 225 </w:t>
      </w:r>
      <w:r w:rsidDel="00000000" w:rsidR="00000000" w:rsidRPr="00000000">
        <w:rPr>
          <w:color w:val="333333"/>
          <w:sz w:val="28"/>
          <w:szCs w:val="28"/>
          <w:highlight w:val="white"/>
          <w:rtl w:val="0"/>
        </w:rPr>
        <w:t xml:space="preserve">jumped 2.35% to  23,370, returning from a public holiday. South Korea’s </w:t>
      </w:r>
      <w:r w:rsidDel="00000000" w:rsidR="00000000" w:rsidRPr="00000000">
        <w:rPr>
          <w:color w:val="333333"/>
          <w:sz w:val="28"/>
          <w:szCs w:val="28"/>
          <w:shd w:fill="f2f2f2" w:val="clear"/>
          <w:rtl w:val="0"/>
        </w:rPr>
        <w:t xml:space="preserve">KOSPI </w:t>
      </w:r>
      <w:r w:rsidDel="00000000" w:rsidR="00000000" w:rsidRPr="00000000">
        <w:rPr>
          <w:color w:val="333333"/>
          <w:sz w:val="28"/>
          <w:szCs w:val="28"/>
          <w:highlight w:val="white"/>
          <w:rtl w:val="0"/>
        </w:rPr>
        <w:t xml:space="preserve">rose 0.77% TO 2352.11.</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rtl w:val="0"/>
        </w:rPr>
      </w:r>
    </w:p>
    <w:p w:rsidR="00000000" w:rsidDel="00000000" w:rsidP="00000000" w:rsidRDefault="00000000" w:rsidRPr="00000000" w14:paraId="00000010">
      <w:pPr>
        <w:spacing w:after="300" w:before="300" w:lineRule="auto"/>
        <w:jc w:val="both"/>
        <w:rPr>
          <w:b w:val="1"/>
          <w:color w:val="ff0000"/>
          <w:sz w:val="48"/>
          <w:szCs w:val="48"/>
        </w:rPr>
      </w:pPr>
      <w:r w:rsidDel="00000000" w:rsidR="00000000" w:rsidRPr="00000000">
        <w:rPr>
          <w:b w:val="1"/>
          <w:color w:val="ff0000"/>
          <w:sz w:val="48"/>
          <w:szCs w:val="48"/>
          <w:rtl w:val="0"/>
        </w:rPr>
        <w:t xml:space="preserve">NIKKEI 225</w:t>
      </w:r>
    </w:p>
    <w:tbl>
      <w:tblPr>
        <w:tblStyle w:val="Table1"/>
        <w:tblW w:w="10920.0" w:type="dxa"/>
        <w:jc w:val="left"/>
        <w:tblInd w:w="-6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1140"/>
        <w:gridCol w:w="1620"/>
        <w:gridCol w:w="1935"/>
        <w:gridCol w:w="1755"/>
        <w:gridCol w:w="1485"/>
        <w:gridCol w:w="1575"/>
        <w:tblGridChange w:id="0">
          <w:tblGrid>
            <w:gridCol w:w="1410"/>
            <w:gridCol w:w="1140"/>
            <w:gridCol w:w="1620"/>
            <w:gridCol w:w="1935"/>
            <w:gridCol w:w="1755"/>
            <w:gridCol w:w="1485"/>
            <w:gridCol w:w="157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b w:val="1"/>
                <w:sz w:val="30"/>
                <w:szCs w:val="30"/>
              </w:rPr>
            </w:pPr>
            <w:r w:rsidDel="00000000" w:rsidR="00000000" w:rsidRPr="00000000">
              <w:rPr>
                <w:b w:val="1"/>
                <w:sz w:val="30"/>
                <w:szCs w:val="30"/>
                <w:rtl w:val="0"/>
              </w:rPr>
              <w:t xml:space="preserve">Indicator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b w:val="1"/>
                <w:sz w:val="30"/>
                <w:szCs w:val="30"/>
              </w:rPr>
            </w:pPr>
            <w:r w:rsidDel="00000000" w:rsidR="00000000" w:rsidRPr="00000000">
              <w:rPr>
                <w:b w:val="1"/>
                <w:sz w:val="30"/>
                <w:szCs w:val="30"/>
                <w:rtl w:val="0"/>
              </w:rPr>
              <w:t xml:space="preserve">RSI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b w:val="1"/>
                <w:sz w:val="30"/>
                <w:szCs w:val="30"/>
              </w:rPr>
            </w:pPr>
            <w:r w:rsidDel="00000000" w:rsidR="00000000" w:rsidRPr="00000000">
              <w:rPr>
                <w:b w:val="1"/>
                <w:sz w:val="30"/>
                <w:szCs w:val="30"/>
                <w:rtl w:val="0"/>
              </w:rPr>
              <w:t xml:space="preserve">MA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b w:val="1"/>
                <w:sz w:val="30"/>
                <w:szCs w:val="30"/>
              </w:rPr>
            </w:pPr>
            <w:r w:rsidDel="00000000" w:rsidR="00000000" w:rsidRPr="00000000">
              <w:rPr>
                <w:b w:val="1"/>
                <w:sz w:val="30"/>
                <w:szCs w:val="30"/>
                <w:rtl w:val="0"/>
              </w:rPr>
              <w:t xml:space="preserve">MA(20)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color w:val="2a2a2a"/>
                <w:sz w:val="30"/>
                <w:szCs w:val="30"/>
              </w:rPr>
            </w:pPr>
            <w:r w:rsidDel="00000000" w:rsidR="00000000" w:rsidRPr="00000000">
              <w:rPr>
                <w:b w:val="1"/>
                <w:sz w:val="30"/>
                <w:szCs w:val="30"/>
                <w:rtl w:val="0"/>
              </w:rPr>
              <w:t xml:space="preserve">MA (50</w:t>
            </w:r>
            <w:r w:rsidDel="00000000" w:rsidR="00000000" w:rsidRPr="00000000">
              <w:rPr>
                <w:color w:val="2a2a2a"/>
                <w:sz w:val="30"/>
                <w:szCs w:val="30"/>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b w:val="1"/>
                <w:color w:val="2a2a2a"/>
                <w:sz w:val="30"/>
                <w:szCs w:val="30"/>
              </w:rPr>
            </w:pPr>
            <w:r w:rsidDel="00000000" w:rsidR="00000000" w:rsidRPr="00000000">
              <w:rPr>
                <w:b w:val="1"/>
                <w:color w:val="2a2a2a"/>
                <w:sz w:val="30"/>
                <w:szCs w:val="30"/>
                <w:rtl w:val="0"/>
              </w:rPr>
              <w:t xml:space="preserve">Bollinger</w:t>
            </w:r>
          </w:p>
          <w:p w:rsidR="00000000" w:rsidDel="00000000" w:rsidP="00000000" w:rsidRDefault="00000000" w:rsidRPr="00000000" w14:paraId="00000017">
            <w:pPr>
              <w:widowControl w:val="0"/>
              <w:spacing w:line="240" w:lineRule="auto"/>
              <w:rPr>
                <w:b w:val="1"/>
                <w:color w:val="2a2a2a"/>
                <w:sz w:val="30"/>
                <w:szCs w:val="30"/>
              </w:rPr>
            </w:pPr>
            <w:r w:rsidDel="00000000" w:rsidR="00000000" w:rsidRPr="00000000">
              <w:rPr>
                <w:b w:val="1"/>
                <w:color w:val="2a2a2a"/>
                <w:sz w:val="30"/>
                <w:szCs w:val="30"/>
                <w:rtl w:val="0"/>
              </w:rPr>
              <w:t xml:space="preserve">(U,M,L)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sz w:val="24"/>
                <w:szCs w:val="24"/>
              </w:rPr>
            </w:pPr>
            <w:r w:rsidDel="00000000" w:rsidR="00000000" w:rsidRPr="00000000">
              <w:rPr>
                <w:b w:val="1"/>
                <w:sz w:val="24"/>
                <w:szCs w:val="24"/>
                <w:rtl w:val="0"/>
              </w:rPr>
              <w:t xml:space="preserve">Stochastic</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sz w:val="30"/>
                <w:szCs w:val="30"/>
              </w:rPr>
            </w:pPr>
            <w:r w:rsidDel="00000000" w:rsidR="00000000" w:rsidRPr="00000000">
              <w:rPr>
                <w:b w:val="1"/>
                <w:sz w:val="30"/>
                <w:szCs w:val="30"/>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color w:val="2a2a2a"/>
                <w:sz w:val="30"/>
                <w:szCs w:val="30"/>
              </w:rPr>
            </w:pPr>
            <w:r w:rsidDel="00000000" w:rsidR="00000000" w:rsidRPr="00000000">
              <w:rPr>
                <w:color w:val="2a2a2a"/>
                <w:sz w:val="30"/>
                <w:szCs w:val="30"/>
                <w:rtl w:val="0"/>
              </w:rPr>
              <w:t xml:space="preserve">57.505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color w:val="2a2a2a"/>
                <w:sz w:val="30"/>
                <w:szCs w:val="30"/>
              </w:rPr>
            </w:pPr>
            <w:r w:rsidDel="00000000" w:rsidR="00000000" w:rsidRPr="00000000">
              <w:rPr>
                <w:color w:val="2a2a2a"/>
                <w:sz w:val="30"/>
                <w:szCs w:val="30"/>
                <w:rtl w:val="0"/>
              </w:rPr>
              <w:t xml:space="preserve">23350.71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color w:val="2a2a2a"/>
                <w:sz w:val="30"/>
                <w:szCs w:val="30"/>
              </w:rPr>
            </w:pPr>
            <w:r w:rsidDel="00000000" w:rsidR="00000000" w:rsidRPr="00000000">
              <w:rPr>
                <w:color w:val="2a2a2a"/>
                <w:sz w:val="30"/>
                <w:szCs w:val="30"/>
                <w:rtl w:val="0"/>
              </w:rPr>
              <w:t xml:space="preserve">23499.40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color w:val="2a2a2a"/>
                <w:sz w:val="30"/>
                <w:szCs w:val="30"/>
              </w:rPr>
            </w:pPr>
            <w:r w:rsidDel="00000000" w:rsidR="00000000" w:rsidRPr="00000000">
              <w:rPr>
                <w:color w:val="2a2a2a"/>
                <w:sz w:val="30"/>
                <w:szCs w:val="30"/>
                <w:rtl w:val="0"/>
              </w:rPr>
              <w:t xml:space="preserve">23358.02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color w:val="2a2a2a"/>
                <w:sz w:val="24"/>
                <w:szCs w:val="24"/>
              </w:rPr>
            </w:pPr>
            <w:r w:rsidDel="00000000" w:rsidR="00000000" w:rsidRPr="00000000">
              <w:rPr>
                <w:color w:val="2a2a2a"/>
                <w:sz w:val="24"/>
                <w:szCs w:val="24"/>
                <w:rtl w:val="0"/>
              </w:rPr>
              <w:t xml:space="preserve">U=23827</w:t>
            </w:r>
          </w:p>
          <w:p w:rsidR="00000000" w:rsidDel="00000000" w:rsidP="00000000" w:rsidRDefault="00000000" w:rsidRPr="00000000" w14:paraId="0000001F">
            <w:pPr>
              <w:widowControl w:val="0"/>
              <w:spacing w:line="240" w:lineRule="auto"/>
              <w:rPr>
                <w:color w:val="2a2a2a"/>
                <w:sz w:val="24"/>
                <w:szCs w:val="24"/>
              </w:rPr>
            </w:pPr>
            <w:r w:rsidDel="00000000" w:rsidR="00000000" w:rsidRPr="00000000">
              <w:rPr>
                <w:color w:val="2a2a2a"/>
                <w:sz w:val="24"/>
                <w:szCs w:val="24"/>
                <w:rtl w:val="0"/>
              </w:rPr>
              <w:t xml:space="preserve">M=23489</w:t>
            </w:r>
          </w:p>
          <w:p w:rsidR="00000000" w:rsidDel="00000000" w:rsidP="00000000" w:rsidRDefault="00000000" w:rsidRPr="00000000" w14:paraId="00000020">
            <w:pPr>
              <w:widowControl w:val="0"/>
              <w:spacing w:line="240" w:lineRule="auto"/>
              <w:rPr>
                <w:color w:val="2a2a2a"/>
                <w:sz w:val="24"/>
                <w:szCs w:val="24"/>
              </w:rPr>
            </w:pPr>
            <w:r w:rsidDel="00000000" w:rsidR="00000000" w:rsidRPr="00000000">
              <w:rPr>
                <w:color w:val="2a2a2a"/>
                <w:sz w:val="24"/>
                <w:szCs w:val="24"/>
                <w:rtl w:val="0"/>
              </w:rPr>
              <w:t xml:space="preserve">L=23171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color w:val="2a2a2a"/>
                <w:sz w:val="30"/>
                <w:szCs w:val="30"/>
              </w:rPr>
            </w:pPr>
            <w:r w:rsidDel="00000000" w:rsidR="00000000" w:rsidRPr="00000000">
              <w:rPr>
                <w:color w:val="2a2a2a"/>
                <w:sz w:val="30"/>
                <w:szCs w:val="30"/>
                <w:rtl w:val="0"/>
              </w:rPr>
              <w:t xml:space="preserve">%d=45.40</w:t>
            </w:r>
          </w:p>
          <w:p w:rsidR="00000000" w:rsidDel="00000000" w:rsidP="00000000" w:rsidRDefault="00000000" w:rsidRPr="00000000" w14:paraId="00000022">
            <w:pPr>
              <w:widowControl w:val="0"/>
              <w:spacing w:line="240" w:lineRule="auto"/>
              <w:rPr>
                <w:color w:val="2a2a2a"/>
                <w:sz w:val="30"/>
                <w:szCs w:val="30"/>
              </w:rPr>
            </w:pPr>
            <w:r w:rsidDel="00000000" w:rsidR="00000000" w:rsidRPr="00000000">
              <w:rPr>
                <w:color w:val="2a2a2a"/>
                <w:sz w:val="30"/>
                <w:szCs w:val="30"/>
                <w:rtl w:val="0"/>
              </w:rPr>
              <w:t xml:space="preserve">%k=86.89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b w:val="1"/>
                <w:sz w:val="30"/>
                <w:szCs w:val="30"/>
              </w:rPr>
            </w:pPr>
            <w:r w:rsidDel="00000000" w:rsidR="00000000" w:rsidRPr="00000000">
              <w:rPr>
                <w:b w:val="1"/>
                <w:sz w:val="30"/>
                <w:szCs w:val="30"/>
                <w:rtl w:val="0"/>
              </w:rPr>
              <w:t xml:space="preserve">Comment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color w:val="2a2a2a"/>
                <w:sz w:val="30"/>
                <w:szCs w:val="30"/>
              </w:rPr>
            </w:pPr>
            <w:r w:rsidDel="00000000" w:rsidR="00000000" w:rsidRPr="00000000">
              <w:rPr>
                <w:color w:val="2a2a2a"/>
                <w:sz w:val="30"/>
                <w:szCs w:val="30"/>
                <w:rtl w:val="0"/>
              </w:rPr>
              <w:t xml:space="preserve">Neutral zone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color w:val="2a2a2a"/>
                <w:sz w:val="24"/>
                <w:szCs w:val="24"/>
              </w:rPr>
            </w:pPr>
            <w:r w:rsidDel="00000000" w:rsidR="00000000" w:rsidRPr="00000000">
              <w:rPr>
                <w:color w:val="2a2a2a"/>
                <w:sz w:val="24"/>
                <w:szCs w:val="24"/>
                <w:rtl w:val="0"/>
              </w:rPr>
              <w:t xml:space="preserve">Price above the moving average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color w:val="2a2a2a"/>
                <w:sz w:val="24"/>
                <w:szCs w:val="24"/>
              </w:rPr>
            </w:pPr>
            <w:r w:rsidDel="00000000" w:rsidR="00000000" w:rsidRPr="00000000">
              <w:rPr>
                <w:color w:val="2a2a2a"/>
                <w:sz w:val="24"/>
                <w:szCs w:val="24"/>
                <w:rtl w:val="0"/>
              </w:rPr>
              <w:t xml:space="preserve">Price Above the moving average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color w:val="2a2a2a"/>
                <w:sz w:val="30"/>
                <w:szCs w:val="30"/>
              </w:rPr>
            </w:pPr>
            <w:r w:rsidDel="00000000" w:rsidR="00000000" w:rsidRPr="00000000">
              <w:rPr>
                <w:color w:val="2a2a2a"/>
                <w:sz w:val="24"/>
                <w:szCs w:val="24"/>
                <w:rtl w:val="0"/>
              </w:rPr>
              <w:t xml:space="preserve">Price above the moving average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color w:val="2a2a2a"/>
                <w:sz w:val="24"/>
                <w:szCs w:val="24"/>
              </w:rPr>
            </w:pPr>
            <w:r w:rsidDel="00000000" w:rsidR="00000000" w:rsidRPr="00000000">
              <w:rPr>
                <w:color w:val="2a2a2a"/>
                <w:sz w:val="24"/>
                <w:szCs w:val="24"/>
                <w:rtl w:val="0"/>
              </w:rPr>
              <w:t xml:space="preserve">Price is below UB</w:t>
            </w:r>
          </w:p>
          <w:p w:rsidR="00000000" w:rsidDel="00000000" w:rsidP="00000000" w:rsidRDefault="00000000" w:rsidRPr="00000000" w14:paraId="00000029">
            <w:pPr>
              <w:widowControl w:val="0"/>
              <w:spacing w:line="240" w:lineRule="auto"/>
              <w:rPr>
                <w:color w:val="2a2a2a"/>
                <w:sz w:val="24"/>
                <w:szCs w:val="24"/>
              </w:rPr>
            </w:pPr>
            <w:r w:rsidDel="00000000" w:rsidR="00000000" w:rsidRPr="00000000">
              <w:rPr>
                <w:color w:val="2a2a2a"/>
                <w:sz w:val="24"/>
                <w:szCs w:val="24"/>
                <w:rtl w:val="0"/>
              </w:rPr>
              <w:t xml:space="preserve">Price is above MB</w:t>
            </w:r>
          </w:p>
          <w:p w:rsidR="00000000" w:rsidDel="00000000" w:rsidP="00000000" w:rsidRDefault="00000000" w:rsidRPr="00000000" w14:paraId="0000002A">
            <w:pPr>
              <w:widowControl w:val="0"/>
              <w:spacing w:line="240" w:lineRule="auto"/>
              <w:rPr>
                <w:color w:val="2a2a2a"/>
                <w:sz w:val="24"/>
                <w:szCs w:val="24"/>
              </w:rPr>
            </w:pPr>
            <w:r w:rsidDel="00000000" w:rsidR="00000000" w:rsidRPr="00000000">
              <w:rPr>
                <w:color w:val="2a2a2a"/>
                <w:sz w:val="24"/>
                <w:szCs w:val="24"/>
                <w:rtl w:val="0"/>
              </w:rPr>
              <w:t xml:space="preserve">Price is above LB</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color w:val="2a2a2a"/>
                <w:sz w:val="30"/>
                <w:szCs w:val="30"/>
              </w:rPr>
            </w:pPr>
            <w:r w:rsidDel="00000000" w:rsidR="00000000" w:rsidRPr="00000000">
              <w:rPr>
                <w:color w:val="2a2a2a"/>
                <w:sz w:val="30"/>
                <w:szCs w:val="30"/>
                <w:rtl w:val="0"/>
              </w:rPr>
              <w:t xml:space="preserve">Crossover to the upper side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b w:val="1"/>
                <w:sz w:val="30"/>
                <w:szCs w:val="30"/>
              </w:rPr>
            </w:pPr>
            <w:r w:rsidDel="00000000" w:rsidR="00000000" w:rsidRPr="00000000">
              <w:rPr>
                <w:b w:val="1"/>
                <w:sz w:val="30"/>
                <w:szCs w:val="30"/>
                <w:rtl w:val="0"/>
              </w:rPr>
              <w:t xml:space="preserve">Trend</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color w:val="2a2a2a"/>
                <w:sz w:val="24"/>
                <w:szCs w:val="24"/>
              </w:rPr>
            </w:pPr>
            <w:r w:rsidDel="00000000" w:rsidR="00000000" w:rsidRPr="00000000">
              <w:rPr>
                <w:color w:val="2a2a2a"/>
                <w:sz w:val="24"/>
                <w:szCs w:val="24"/>
                <w:rtl w:val="0"/>
              </w:rPr>
              <w:t xml:space="preserve">Bullish</w:t>
            </w:r>
          </w:p>
        </w:tc>
      </w:tr>
      <w:tr>
        <w:trPr>
          <w:trHeight w:val="5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b w:val="1"/>
                <w:sz w:val="30"/>
                <w:szCs w:val="30"/>
              </w:rPr>
            </w:pPr>
            <w:r w:rsidDel="00000000" w:rsidR="00000000" w:rsidRPr="00000000">
              <w:rPr>
                <w:b w:val="1"/>
                <w:sz w:val="30"/>
                <w:szCs w:val="30"/>
                <w:rtl w:val="0"/>
              </w:rPr>
              <w:t xml:space="preserve">Special</w:t>
            </w:r>
          </w:p>
          <w:p w:rsidR="00000000" w:rsidDel="00000000" w:rsidP="00000000" w:rsidRDefault="00000000" w:rsidRPr="00000000" w14:paraId="00000034">
            <w:pPr>
              <w:widowControl w:val="0"/>
              <w:spacing w:line="240" w:lineRule="auto"/>
              <w:rPr>
                <w:b w:val="1"/>
                <w:sz w:val="30"/>
                <w:szCs w:val="30"/>
              </w:rPr>
            </w:pPr>
            <w:r w:rsidDel="00000000" w:rsidR="00000000" w:rsidRPr="00000000">
              <w:rPr>
                <w:b w:val="1"/>
                <w:sz w:val="30"/>
                <w:szCs w:val="30"/>
                <w:rtl w:val="0"/>
              </w:rPr>
              <w:t xml:space="preserve">Notes</w:t>
            </w:r>
          </w:p>
        </w:tc>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color w:val="2a2a2a"/>
                <w:sz w:val="30"/>
                <w:szCs w:val="30"/>
              </w:rPr>
            </w:pPr>
            <w:r w:rsidDel="00000000" w:rsidR="00000000" w:rsidRPr="00000000">
              <w:rPr>
                <w:color w:val="2a2a2a"/>
                <w:sz w:val="30"/>
                <w:szCs w:val="30"/>
                <w:rtl w:val="0"/>
              </w:rPr>
              <w:t xml:space="preserve">The market is expected to move on the positive side. All the moving average are above the trading price.RSI too suggests market move on the upward direction.</w:t>
            </w:r>
          </w:p>
        </w:tc>
      </w:tr>
    </w:tbl>
    <w:p w:rsidR="00000000" w:rsidDel="00000000" w:rsidP="00000000" w:rsidRDefault="00000000" w:rsidRPr="00000000" w14:paraId="0000003B">
      <w:pPr>
        <w:spacing w:after="300" w:before="300" w:lineRule="auto"/>
        <w:jc w:val="both"/>
        <w:rPr>
          <w:color w:val="333333"/>
          <w:sz w:val="30"/>
          <w:szCs w:val="30"/>
          <w:highlight w:val="white"/>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rtl w:val="0"/>
        </w:rPr>
      </w:r>
    </w:p>
    <w:p w:rsidR="00000000" w:rsidDel="00000000" w:rsidP="00000000" w:rsidRDefault="00000000" w:rsidRPr="00000000" w14:paraId="0000003D">
      <w:pPr>
        <w:rPr>
          <w:b w:val="1"/>
          <w:color w:val="333333"/>
          <w:sz w:val="26"/>
          <w:szCs w:val="26"/>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