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>Goodman</w:t>
      </w: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b/>
          <w:bCs/>
          <w:sz w:val="28"/>
          <w:szCs w:val="28"/>
          <w:lang w:val="en-US"/>
        </w:rPr>
        <w:t>versus Elliott</w:t>
      </w:r>
    </w:p>
    <w:p w:rsidR="00C81244" w:rsidRPr="00C81244" w:rsidRDefault="00C81244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>OVERVIEW</w:t>
      </w:r>
    </w:p>
    <w:p w:rsidR="00C81244" w:rsidRPr="00C81244" w:rsidRDefault="00C81244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When I tutor traders on Goodman, I break up the study into ordinal and cardinal.</w:t>
      </w:r>
    </w:p>
    <w:p w:rsidR="000430BB" w:rsidRPr="00C81244" w:rsidRDefault="000430BB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0430BB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We study Goodman wave theory (GWT) without respect to measurements first, and</w:t>
      </w:r>
      <w:r w:rsidR="000430BB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only then overlay a study of the Goodman measurement theory (GMT). </w:t>
      </w:r>
    </w:p>
    <w:p w:rsidR="000430BB" w:rsidRDefault="000430BB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These both involve</w:t>
      </w:r>
      <w:r w:rsidR="000430BB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Goodman ordinal rules and Goodman cardinal rules.</w:t>
      </w:r>
    </w:p>
    <w:p w:rsidR="000430BB" w:rsidRPr="00C81244" w:rsidRDefault="000430BB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0430BB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Here is a nice formation to look for in GWT. </w:t>
      </w:r>
    </w:p>
    <w:p w:rsidR="000430BB" w:rsidRDefault="000430BB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It has some high probabilities, especially</w:t>
      </w:r>
      <w:r w:rsidR="000430BB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with the use of filters and GMT (the latter beyond the scope of this short primer).</w:t>
      </w:r>
    </w:p>
    <w:p w:rsidR="00AD68D1" w:rsidRPr="00C81244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Charlie called it the “Return.”</w:t>
      </w:r>
    </w:p>
    <w:p w:rsidR="000430BB" w:rsidRPr="00C81244" w:rsidRDefault="000430BB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Elliott identified the basic market wave as having </w:t>
      </w:r>
      <w:r w:rsidR="00AD68D1">
        <w:rPr>
          <w:rFonts w:ascii="Arial" w:hAnsi="Arial" w:cs="Arial"/>
          <w:sz w:val="28"/>
          <w:szCs w:val="28"/>
          <w:lang w:val="en-US"/>
        </w:rPr>
        <w:t>5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 components (See Figure 37.1.)</w:t>
      </w:r>
    </w:p>
    <w:p w:rsidR="00AD68D1" w:rsidRPr="00C81244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noProof/>
          <w:sz w:val="28"/>
          <w:szCs w:val="28"/>
          <w:lang w:eastAsia="fr-FR"/>
        </w:rPr>
        <w:drawing>
          <wp:inline distT="0" distB="0" distL="0" distR="0">
            <wp:extent cx="6479540" cy="2700484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70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8D1" w:rsidRPr="00C81244" w:rsidRDefault="00AD68D1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81244" w:rsidRDefault="00C81244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 xml:space="preserve">FIGURE 37.1 </w:t>
      </w:r>
      <w:r w:rsidRPr="00C81244">
        <w:rPr>
          <w:rFonts w:ascii="Arial" w:hAnsi="Arial" w:cs="Arial"/>
          <w:sz w:val="28"/>
          <w:szCs w:val="28"/>
          <w:lang w:val="en-US"/>
        </w:rPr>
        <w:t>Elliott Market Components</w:t>
      </w: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lastRenderedPageBreak/>
        <w:t xml:space="preserve">This is incorrect. The basic market wave has </w:t>
      </w:r>
      <w:r>
        <w:rPr>
          <w:rFonts w:ascii="Arial" w:hAnsi="Arial" w:cs="Arial"/>
          <w:sz w:val="28"/>
          <w:szCs w:val="28"/>
          <w:lang w:val="en-US"/>
        </w:rPr>
        <w:t>3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 components. (See Figure 37.2.)</w:t>
      </w:r>
    </w:p>
    <w:p w:rsidR="00AD68D1" w:rsidRDefault="00AD68D1" w:rsidP="00AD68D1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AD68D1">
        <w:rPr>
          <w:rFonts w:ascii="Arial" w:hAnsi="Arial" w:cs="Arial"/>
          <w:sz w:val="28"/>
          <w:szCs w:val="28"/>
          <w:lang w:val="en-US"/>
        </w:rPr>
        <w:drawing>
          <wp:inline distT="0" distB="0" distL="0" distR="0">
            <wp:extent cx="6479540" cy="3192568"/>
            <wp:effectExtent l="19050" t="0" r="0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192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8D1" w:rsidRPr="00C81244" w:rsidRDefault="00AD68D1" w:rsidP="00AD68D1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311667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 xml:space="preserve">FIGURE 37.2 </w:t>
      </w:r>
      <w:r w:rsidRPr="00C81244">
        <w:rPr>
          <w:rFonts w:ascii="Arial" w:hAnsi="Arial" w:cs="Arial"/>
          <w:sz w:val="28"/>
          <w:szCs w:val="28"/>
          <w:lang w:val="en-US"/>
        </w:rPr>
        <w:t>Goodman Market Components</w:t>
      </w: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Pr="00C81244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>PROPAGATION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311667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According to Goodman, a wave propagates or builds in such a way that it </w:t>
      </w:r>
      <w:r w:rsidRPr="00C81244">
        <w:rPr>
          <w:rFonts w:ascii="Arial" w:hAnsi="Arial" w:cs="Arial"/>
          <w:i/>
          <w:iCs/>
          <w:sz w:val="28"/>
          <w:szCs w:val="28"/>
          <w:lang w:val="en-US"/>
        </w:rPr>
        <w:t xml:space="preserve">appears </w:t>
      </w:r>
      <w:r w:rsidRPr="00C81244">
        <w:rPr>
          <w:rFonts w:ascii="Arial" w:hAnsi="Arial" w:cs="Arial"/>
          <w:sz w:val="28"/>
          <w:szCs w:val="28"/>
          <w:lang w:val="en-US"/>
        </w:rPr>
        <w:t>to be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5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 components, but the ordinal rule is actually this: </w:t>
      </w:r>
    </w:p>
    <w:p w:rsidR="00311667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If the first (primary) component of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a wave is a simple, single component,</w:t>
      </w: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 the second (primary) component will be complex,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consisting itself of </w:t>
      </w:r>
      <w:r w:rsidR="00311667">
        <w:rPr>
          <w:rFonts w:ascii="Arial" w:hAnsi="Arial" w:cs="Arial"/>
          <w:sz w:val="28"/>
          <w:szCs w:val="28"/>
          <w:lang w:val="en-US"/>
        </w:rPr>
        <w:t>3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 components, and vice versa. (See Figure 37.3.)</w:t>
      </w: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</w:p>
    <w:p w:rsidR="00B24173" w:rsidRDefault="00B24173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B24173" w:rsidRDefault="00AD68D1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eastAsia="fr-FR"/>
        </w:rPr>
        <w:drawing>
          <wp:inline distT="0" distB="0" distL="0" distR="0">
            <wp:extent cx="5133975" cy="4391025"/>
            <wp:effectExtent l="1905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173" w:rsidRPr="00C81244" w:rsidRDefault="00B24173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AD68D1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 xml:space="preserve">FIGURE 37.3 </w:t>
      </w:r>
      <w:r w:rsidRPr="00C81244">
        <w:rPr>
          <w:rFonts w:ascii="Arial" w:hAnsi="Arial" w:cs="Arial"/>
          <w:sz w:val="28"/>
          <w:szCs w:val="28"/>
          <w:lang w:val="en-US"/>
        </w:rPr>
        <w:t>Propagation Rule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AD68D1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This propagation rule can be extremely useful in and of itself in anticipating the ordinal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template of the market as it unfolds, but further details are beyond the scope of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this short overview. </w:t>
      </w:r>
    </w:p>
    <w:p w:rsidR="00AD68D1" w:rsidRDefault="00AD68D1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There are 16 basic propagation schemes or templates.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THE RETURN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Charlie identified what he called a “return”—defined here as the price location (+/–) in a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wave propagation where the secondary wave of the primary wave approaches the secondary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wave of the complex component. (See Figure 37.4.)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P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This feature has some interesting ramifications for anticipating the basic market</w:t>
      </w:r>
    </w:p>
    <w:p w:rsidR="00311667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template. </w:t>
      </w:r>
    </w:p>
    <w:p w:rsidR="00311667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P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But for the purposes of this overview, I want to draw your attention to a single</w:t>
      </w: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idea as a possible short-term trading tactic.</w:t>
      </w:r>
    </w:p>
    <w:p w:rsidR="00B24173" w:rsidRDefault="00B24173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B24173" w:rsidRDefault="00B24173" w:rsidP="00B24173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eastAsia="fr-FR"/>
        </w:rPr>
        <w:drawing>
          <wp:inline distT="0" distB="0" distL="0" distR="0">
            <wp:extent cx="5324475" cy="462915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B24173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b/>
          <w:bCs/>
          <w:sz w:val="28"/>
          <w:szCs w:val="28"/>
          <w:lang w:val="en-US"/>
        </w:rPr>
        <w:t xml:space="preserve">FIGURE 37.4 </w:t>
      </w:r>
      <w:r w:rsidRPr="00C81244">
        <w:rPr>
          <w:rFonts w:ascii="Arial" w:hAnsi="Arial" w:cs="Arial"/>
          <w:sz w:val="28"/>
          <w:szCs w:val="28"/>
          <w:lang w:val="en-US"/>
        </w:rPr>
        <w:t>The Return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311667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The market will very often reverse from the “return” point for some price value. </w:t>
      </w:r>
    </w:p>
    <w:p w:rsidR="00311667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How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much is variable, depending on other factors such as the market template and GMT, but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as a short-term trade or spot play it can be quite useful.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311667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To use this in isolation as a short-term trading tool you will need a timing method—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I recommend a </w:t>
      </w:r>
      <w:r w:rsidR="00AD68D1">
        <w:rPr>
          <w:rFonts w:ascii="Arial" w:hAnsi="Arial" w:cs="Arial"/>
          <w:sz w:val="28"/>
          <w:szCs w:val="28"/>
          <w:lang w:val="en-US"/>
        </w:rPr>
        <w:t>3</w:t>
      </w:r>
      <w:r w:rsidRPr="00C81244">
        <w:rPr>
          <w:rFonts w:ascii="Arial" w:hAnsi="Arial" w:cs="Arial"/>
          <w:sz w:val="28"/>
          <w:szCs w:val="28"/>
          <w:lang w:val="en-US"/>
        </w:rPr>
        <w:t>-box reversal point and figure chart.</w:t>
      </w:r>
    </w:p>
    <w:p w:rsidR="00311667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311667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lastRenderedPageBreak/>
        <w:t xml:space="preserve"> Also helpful would be monitoring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 xml:space="preserve">the Goodman templates at one higher and one lower matrix. </w:t>
      </w:r>
    </w:p>
    <w:p w:rsidR="00311667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The return can also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be useful in identifying the market template itself.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P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Typically (but not always) if the return falls short of the point of the BC wave, the</w:t>
      </w:r>
    </w:p>
    <w:p w:rsidR="00311667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market will build a bit before reversing.</w:t>
      </w:r>
    </w:p>
    <w:p w:rsidR="00311667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 xml:space="preserve"> If the return is past the point of the BC wave,</w:t>
      </w:r>
      <w:r w:rsidR="00311667">
        <w:rPr>
          <w:rFonts w:ascii="Arial" w:hAnsi="Arial" w:cs="Arial"/>
          <w:sz w:val="28"/>
          <w:szCs w:val="28"/>
          <w:lang w:val="en-US"/>
        </w:rPr>
        <w:t xml:space="preserve"> </w:t>
      </w:r>
      <w:r w:rsidRPr="00C81244">
        <w:rPr>
          <w:rFonts w:ascii="Arial" w:hAnsi="Arial" w:cs="Arial"/>
          <w:sz w:val="28"/>
          <w:szCs w:val="28"/>
          <w:lang w:val="en-US"/>
        </w:rPr>
        <w:t>the market will often spike through the return point and then reverse.</w:t>
      </w:r>
    </w:p>
    <w:p w:rsidR="00311667" w:rsidRPr="00C81244" w:rsidRDefault="00311667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C81244" w:rsidRPr="00C81244" w:rsidRDefault="00C81244" w:rsidP="00C81244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When this is overlaid with the Goodman cardinal rules, it becomes a very powerful</w:t>
      </w:r>
    </w:p>
    <w:p w:rsidR="004F6D64" w:rsidRPr="00C81244" w:rsidRDefault="00C81244" w:rsidP="00C81244">
      <w:pPr>
        <w:rPr>
          <w:rFonts w:ascii="Arial" w:hAnsi="Arial" w:cs="Arial"/>
          <w:sz w:val="28"/>
          <w:szCs w:val="28"/>
          <w:lang w:val="en-US"/>
        </w:rPr>
      </w:pPr>
      <w:r w:rsidRPr="00C81244">
        <w:rPr>
          <w:rFonts w:ascii="Arial" w:hAnsi="Arial" w:cs="Arial"/>
          <w:sz w:val="28"/>
          <w:szCs w:val="28"/>
          <w:lang w:val="en-US"/>
        </w:rPr>
        <w:t>tool in the broader scope of Goodman studies.</w:t>
      </w:r>
    </w:p>
    <w:sectPr w:rsidR="004F6D64" w:rsidRPr="00C81244" w:rsidSect="00C81244">
      <w:footerReference w:type="default" r:id="rId10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735" w:rsidRDefault="00463735" w:rsidP="00B24173">
      <w:r>
        <w:separator/>
      </w:r>
    </w:p>
  </w:endnote>
  <w:endnote w:type="continuationSeparator" w:id="0">
    <w:p w:rsidR="00463735" w:rsidRDefault="00463735" w:rsidP="00B24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5163"/>
      <w:docPartObj>
        <w:docPartGallery w:val="Page Numbers (Bottom of Page)"/>
        <w:docPartUnique/>
      </w:docPartObj>
    </w:sdtPr>
    <w:sdtContent>
      <w:p w:rsidR="00B24173" w:rsidRDefault="00B24173">
        <w:pPr>
          <w:pStyle w:val="Pieddepage"/>
          <w:jc w:val="right"/>
        </w:pPr>
        <w:fldSimple w:instr=" PAGE   \* MERGEFORMAT ">
          <w:r w:rsidR="00AD68D1">
            <w:rPr>
              <w:noProof/>
            </w:rPr>
            <w:t>1</w:t>
          </w:r>
        </w:fldSimple>
        <w:r w:rsidR="00AD68D1">
          <w:t>/5</w:t>
        </w:r>
      </w:p>
    </w:sdtContent>
  </w:sdt>
  <w:p w:rsidR="00B24173" w:rsidRDefault="00B24173">
    <w:pPr>
      <w:pStyle w:val="Pieddepage"/>
    </w:pPr>
    <w:r>
      <w:t>Goodman versus Elliott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735" w:rsidRDefault="00463735" w:rsidP="00B24173">
      <w:r>
        <w:separator/>
      </w:r>
    </w:p>
  </w:footnote>
  <w:footnote w:type="continuationSeparator" w:id="0">
    <w:p w:rsidR="00463735" w:rsidRDefault="00463735" w:rsidP="00B241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44"/>
    <w:rsid w:val="000430BB"/>
    <w:rsid w:val="00311667"/>
    <w:rsid w:val="00463735"/>
    <w:rsid w:val="004F6D64"/>
    <w:rsid w:val="00AD68D1"/>
    <w:rsid w:val="00B24173"/>
    <w:rsid w:val="00C81244"/>
    <w:rsid w:val="00CA5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B2417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24173"/>
  </w:style>
  <w:style w:type="paragraph" w:styleId="Pieddepage">
    <w:name w:val="footer"/>
    <w:basedOn w:val="Normal"/>
    <w:link w:val="PieddepageCar"/>
    <w:uiPriority w:val="99"/>
    <w:unhideWhenUsed/>
    <w:rsid w:val="00B2417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4173"/>
  </w:style>
  <w:style w:type="paragraph" w:styleId="Textedebulles">
    <w:name w:val="Balloon Text"/>
    <w:basedOn w:val="Normal"/>
    <w:link w:val="TextedebullesCar"/>
    <w:uiPriority w:val="99"/>
    <w:semiHidden/>
    <w:unhideWhenUsed/>
    <w:rsid w:val="00B24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41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441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3</cp:revision>
  <dcterms:created xsi:type="dcterms:W3CDTF">2010-02-09T10:15:00Z</dcterms:created>
  <dcterms:modified xsi:type="dcterms:W3CDTF">2010-02-09T11:18:00Z</dcterms:modified>
</cp:coreProperties>
</file>