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6AA" w:rsidRPr="002856AA" w:rsidRDefault="002856AA" w:rsidP="00170C7F">
      <w:pPr>
        <w:pBdr>
          <w:bottom w:val="single" w:sz="18" w:space="5" w:color="FFFFFF"/>
        </w:pBdr>
        <w:shd w:val="clear" w:color="auto" w:fill="394C63"/>
        <w:spacing w:before="100" w:beforeAutospacing="1" w:after="100" w:afterAutospacing="1" w:line="270" w:lineRule="atLeast"/>
        <w:outlineLvl w:val="1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AU"/>
        </w:rPr>
      </w:pPr>
      <w:r>
        <w:rPr>
          <w:rFonts w:ascii="Arial" w:eastAsia="Times New Roman" w:hAnsi="Arial" w:cs="Arial"/>
          <w:b/>
          <w:bCs/>
          <w:color w:val="FFFFFF"/>
          <w:sz w:val="27"/>
          <w:szCs w:val="27"/>
          <w:lang w:eastAsia="en-AU"/>
        </w:rPr>
        <w:t>Correlation Matrix</w:t>
      </w:r>
    </w:p>
    <w:p w:rsidR="002856AA" w:rsidRPr="002856AA" w:rsidRDefault="002856AA" w:rsidP="002856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AU"/>
        </w:rPr>
      </w:pPr>
      <w:r w:rsidRPr="002856AA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How to develop shares compared to raw materials, bonds and </w:t>
      </w:r>
      <w:proofErr w:type="gramStart"/>
      <w:r w:rsidRPr="002856AA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currencies ?</w:t>
      </w:r>
      <w:proofErr w:type="gramEnd"/>
    </w:p>
    <w:p w:rsidR="002856AA" w:rsidRPr="002856AA" w:rsidRDefault="002856AA" w:rsidP="002856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070"/>
        <w:rPr>
          <w:rFonts w:ascii="Arial" w:eastAsia="Times New Roman" w:hAnsi="Arial" w:cs="Arial"/>
          <w:color w:val="222222"/>
          <w:sz w:val="20"/>
          <w:szCs w:val="20"/>
          <w:lang w:eastAsia="en-AU"/>
        </w:rPr>
      </w:pPr>
    </w:p>
    <w:p w:rsidR="002856AA" w:rsidRPr="002856AA" w:rsidRDefault="00FC0BD1" w:rsidP="002856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AU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AU"/>
        </w:rPr>
        <w:t>In this section</w:t>
      </w:r>
      <w:r w:rsidR="002856AA" w:rsidRPr="002856AA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 the correlation metrics important </w:t>
      </w:r>
      <w:r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to </w:t>
      </w:r>
      <w:r w:rsidR="002856AA" w:rsidRPr="002856AA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underlying assets. Investors can draw conclusions about whether the various potential underlying, or rather move quite different in unison - and draw valuable conclusions for the co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mposition of the portfolio</w:t>
      </w:r>
      <w:r w:rsidR="002856AA" w:rsidRPr="002856AA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.</w:t>
      </w:r>
    </w:p>
    <w:p w:rsidR="002856AA" w:rsidRPr="002856AA" w:rsidRDefault="002856AA" w:rsidP="002856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070"/>
        <w:rPr>
          <w:rFonts w:ascii="Arial" w:eastAsia="Times New Roman" w:hAnsi="Arial" w:cs="Arial"/>
          <w:color w:val="222222"/>
          <w:sz w:val="20"/>
          <w:szCs w:val="20"/>
          <w:lang w:eastAsia="en-AU"/>
        </w:rPr>
      </w:pPr>
    </w:p>
    <w:p w:rsidR="002856AA" w:rsidRPr="002856AA" w:rsidRDefault="002856AA" w:rsidP="002856AA">
      <w:pPr>
        <w:spacing w:after="0" w:line="240" w:lineRule="auto"/>
        <w:rPr>
          <w:rFonts w:ascii="Arial" w:eastAsia="Times New Roman" w:hAnsi="Arial" w:cs="Arial"/>
          <w:color w:val="383838"/>
          <w:sz w:val="20"/>
          <w:szCs w:val="20"/>
          <w:lang w:eastAsia="en-AU"/>
        </w:rPr>
      </w:pP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There is not only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 sunshine on the stock exchange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. From time to time</w:t>
      </w:r>
      <w:r w:rsidR="00BF7220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, we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 draw on dark storm clouds </w:t>
      </w:r>
      <w:r w:rsidR="00BF7220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that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 bring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 prices under pressure. By then, investors with a "</w:t>
      </w:r>
      <w:proofErr w:type="gramStart"/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weatherproof "</w:t>
      </w:r>
      <w:proofErr w:type="gramEnd"/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 </w:t>
      </w:r>
      <w:r w:rsidR="00BF7220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jacket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 are well equipped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. To make the portfolio stable thr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ough diversification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, investors could look for ingredients that tend to develop in op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posite directions to each other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, so have a 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low correlation with each other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. This matrix shows the correlations between the returns of different asset classes. Here are presented the five-year correlations in the left tr</w:t>
      </w:r>
      <w:r w:rsidR="00BF7220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iangle (below the diagonal </w:t>
      </w:r>
      <w:proofErr w:type="spellStart"/>
      <w:r w:rsidR="00BF7220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gray</w:t>
      </w:r>
      <w:proofErr w:type="spellEnd"/>
      <w:proofErr w:type="gramStart"/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) .</w:t>
      </w:r>
      <w:proofErr w:type="gramEnd"/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 In the right triangle are the one-year correlati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ons. The higher the coefficient, the more the synchronization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. 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 xml:space="preserve"> 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A correlation of 1 in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dicates perfect synchronization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, a c</w:t>
      </w:r>
      <w:r w:rsid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orrelation of -1 perfect mating</w:t>
      </w:r>
      <w:r w:rsidRPr="00170C7F">
        <w:rPr>
          <w:rFonts w:ascii="Arial" w:eastAsia="Times New Roman" w:hAnsi="Arial" w:cs="Arial"/>
          <w:color w:val="222222"/>
          <w:sz w:val="20"/>
          <w:szCs w:val="20"/>
          <w:lang w:eastAsia="en-AU"/>
        </w:rPr>
        <w:t>. For example, the DAX and the EURO STOXX 50® show a fairly high 1-year correlation of 0.95.</w:t>
      </w:r>
    </w:p>
    <w:p w:rsidR="002856AA" w:rsidRPr="002856AA" w:rsidRDefault="002856AA" w:rsidP="002856AA">
      <w:pPr>
        <w:pBdr>
          <w:bottom w:val="single" w:sz="18" w:space="5" w:color="FFFFFF"/>
        </w:pBdr>
        <w:shd w:val="clear" w:color="auto" w:fill="394C63"/>
        <w:spacing w:before="100" w:beforeAutospacing="1" w:after="100" w:afterAutospacing="1" w:line="270" w:lineRule="atLeast"/>
        <w:outlineLvl w:val="1"/>
        <w:rPr>
          <w:rFonts w:ascii="Arial" w:eastAsia="Times New Roman" w:hAnsi="Arial" w:cs="Arial"/>
          <w:b/>
          <w:bCs/>
          <w:color w:val="FFFFFF"/>
          <w:sz w:val="27"/>
          <w:szCs w:val="27"/>
          <w:lang w:eastAsia="en-AU"/>
        </w:rPr>
      </w:pPr>
      <w:r>
        <w:rPr>
          <w:rFonts w:ascii="Arial" w:eastAsia="Times New Roman" w:hAnsi="Arial" w:cs="Arial"/>
          <w:b/>
          <w:bCs/>
          <w:color w:val="FFFFFF"/>
          <w:sz w:val="27"/>
          <w:szCs w:val="27"/>
          <w:lang w:eastAsia="en-AU"/>
        </w:rPr>
        <w:t>Correlation Matrix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"/>
        <w:gridCol w:w="26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4"/>
        <w:gridCol w:w="504"/>
        <w:gridCol w:w="519"/>
      </w:tblGrid>
      <w:tr w:rsidR="002856AA" w:rsidRPr="002856AA" w:rsidTr="00814F4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gridSpan w:val="6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814F4D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SHARES</w:t>
            </w:r>
          </w:p>
        </w:tc>
        <w:tc>
          <w:tcPr>
            <w:tcW w:w="0" w:type="auto"/>
            <w:gridSpan w:val="8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814F4D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RAW MATERIALS</w:t>
            </w:r>
          </w:p>
        </w:tc>
        <w:tc>
          <w:tcPr>
            <w:tcW w:w="0" w:type="auto"/>
            <w:gridSpan w:val="3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814F4D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CURRENCY</w:t>
            </w:r>
          </w:p>
        </w:tc>
        <w:tc>
          <w:tcPr>
            <w:tcW w:w="0" w:type="auto"/>
            <w:gridSpan w:val="3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814F4D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INTEREST RATE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8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9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10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12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13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14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15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18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19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20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DAX ®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0,53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0,95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0,13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0,04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-0,18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0,24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-0,00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-0,17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-0,30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-0,26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-0,05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0,20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DAXGLOBAL BRIC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0,57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0,20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-0,07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0,07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-0,13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-0,30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-0,07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-0,43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0,13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E-STOXX 50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0,94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0,55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0,06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-0,21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-0,32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-0,30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0,21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NASDAQ 100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0,62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0,39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0,62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0,92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0,10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0,06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-0,17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-0,07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0,36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-0,06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-0,05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-0,01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0,26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NIKKEI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0,27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0,39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0,08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-0,20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-0,04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-0,07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0,07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-0,08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-0,04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-0,08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S&amp;P 500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0,67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0,40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0,68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0,94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0,20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0,05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-0,08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0,40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-0,06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-0,06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0,33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 xml:space="preserve">Brent Crude </w:t>
            </w:r>
            <w:proofErr w:type="spellStart"/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Ö</w:t>
            </w:r>
            <w:r w:rsidR="00EB27B9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i</w:t>
            </w:r>
            <w:bookmarkStart w:id="0" w:name="_GoBack"/>
            <w:bookmarkEnd w:id="0"/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l</w:t>
            </w:r>
            <w:proofErr w:type="spellEnd"/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0,24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0,33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0,13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0,93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0,91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0,19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8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Gold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0,15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0,06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0,02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0,78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-0,05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-0,32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-0,05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9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S&amp;P GSCI Agriculture ER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0,19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0,23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0,29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0,05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10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S&amp;P GSCI Energy ER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0,39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0,31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0,39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0,39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0,45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0,90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0,17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0,98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0,13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S&amp;P GSCI ER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0,40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0,32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0,40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0,15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0,44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0,81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0,22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0,45</w:t>
            </w:r>
          </w:p>
        </w:tc>
        <w:tc>
          <w:tcPr>
            <w:tcW w:w="0" w:type="auto"/>
            <w:tcBorders>
              <w:top w:val="single" w:sz="6" w:space="0" w:color="00994B"/>
              <w:left w:val="single" w:sz="6" w:space="0" w:color="00994B"/>
              <w:bottom w:val="single" w:sz="6" w:space="0" w:color="00994B"/>
              <w:right w:val="single" w:sz="6" w:space="0" w:color="00994B"/>
            </w:tcBorders>
            <w:shd w:val="clear" w:color="auto" w:fill="00994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0,90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0,15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12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S&amp;P GSCI Industrial Metals ER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0,51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0,43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0,51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0,39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0,19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0,43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0,41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0,34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0,31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0,48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0,55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0,20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0,04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0,22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13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 xml:space="preserve">S&amp;P GSCI Livestock ER 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0,19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0,09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0,07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S&amp;P GSCI Precious Metals ER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0,09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0,08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0,27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0,73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0,23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0,31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0,37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-0,02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-0,14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15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EUR/GBP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0,08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0,15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0,43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0,61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0,04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EUR/JPY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0,08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0,41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0,22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0,54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0,15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0,30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0,30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0,43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0,52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0,04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-0,15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0,41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EUR/USD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0,27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-0,17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0,30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0,01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0,44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0,22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0,32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0,35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0,21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0,61</w:t>
            </w:r>
          </w:p>
        </w:tc>
        <w:tc>
          <w:tcPr>
            <w:tcW w:w="0" w:type="auto"/>
            <w:tcBorders>
              <w:top w:val="single" w:sz="6" w:space="0" w:color="68BC45"/>
              <w:left w:val="single" w:sz="6" w:space="0" w:color="68BC45"/>
              <w:bottom w:val="single" w:sz="6" w:space="0" w:color="68BC45"/>
              <w:right w:val="single" w:sz="6" w:space="0" w:color="68BC45"/>
            </w:tcBorders>
            <w:shd w:val="clear" w:color="auto" w:fill="68BC45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0,65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0,17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18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 xml:space="preserve">EURIBOR (6 </w:t>
            </w:r>
            <w:r w:rsidR="00814F4D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MONTH</w:t>
            </w: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)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-0,22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0,12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19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REX GESAMT PERF.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-0,28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-0,17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-0,30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-0,14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-0,26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-0,16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-0,10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0,04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-0,14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-0,23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-0,18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-0,19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-0,27</w:t>
            </w:r>
          </w:p>
        </w:tc>
      </w:tr>
      <w:tr w:rsidR="002856AA" w:rsidRPr="002856AA" w:rsidTr="00814F4D">
        <w:trPr>
          <w:tblCellSpacing w:w="15" w:type="dxa"/>
        </w:trPr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20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 xml:space="preserve">SWAP EUR (10 </w:t>
            </w:r>
            <w:r w:rsidR="00814F4D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YEAR</w:t>
            </w: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)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0,37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0,16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0,39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0,08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0,36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0,22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-0,03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0,23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0,25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0,11</w:t>
            </w:r>
          </w:p>
        </w:tc>
        <w:tc>
          <w:tcPr>
            <w:tcW w:w="0" w:type="auto"/>
            <w:tcBorders>
              <w:top w:val="single" w:sz="6" w:space="0" w:color="F9A51B"/>
              <w:left w:val="single" w:sz="6" w:space="0" w:color="F9A51B"/>
              <w:bottom w:val="single" w:sz="6" w:space="0" w:color="F9A51B"/>
              <w:right w:val="single" w:sz="6" w:space="0" w:color="F9A51B"/>
            </w:tcBorders>
            <w:shd w:val="clear" w:color="auto" w:fill="F9A51B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-0,04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0,16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0,40</w:t>
            </w:r>
          </w:p>
        </w:tc>
        <w:tc>
          <w:tcPr>
            <w:tcW w:w="0" w:type="auto"/>
            <w:tcBorders>
              <w:top w:val="single" w:sz="6" w:space="0" w:color="C1D72F"/>
              <w:left w:val="single" w:sz="6" w:space="0" w:color="C1D72F"/>
              <w:bottom w:val="single" w:sz="6" w:space="0" w:color="C1D72F"/>
              <w:right w:val="single" w:sz="6" w:space="0" w:color="C1D72F"/>
            </w:tcBorders>
            <w:shd w:val="clear" w:color="auto" w:fill="C1D72F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0,28</w:t>
            </w:r>
          </w:p>
        </w:tc>
        <w:tc>
          <w:tcPr>
            <w:tcW w:w="0" w:type="auto"/>
            <w:tcBorders>
              <w:top w:val="single" w:sz="6" w:space="0" w:color="FECD08"/>
              <w:left w:val="single" w:sz="6" w:space="0" w:color="FECD08"/>
              <w:bottom w:val="single" w:sz="6" w:space="0" w:color="FECD08"/>
              <w:right w:val="single" w:sz="6" w:space="0" w:color="FECD08"/>
            </w:tcBorders>
            <w:shd w:val="clear" w:color="auto" w:fill="FECD08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0,10</w:t>
            </w:r>
          </w:p>
        </w:tc>
        <w:tc>
          <w:tcPr>
            <w:tcW w:w="0" w:type="auto"/>
            <w:tcBorders>
              <w:top w:val="single" w:sz="6" w:space="0" w:color="F25D21"/>
              <w:left w:val="single" w:sz="6" w:space="0" w:color="F25D21"/>
              <w:bottom w:val="single" w:sz="6" w:space="0" w:color="F25D21"/>
              <w:right w:val="single" w:sz="6" w:space="0" w:color="F25D21"/>
            </w:tcBorders>
            <w:shd w:val="clear" w:color="auto" w:fill="F25D21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-0,31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shd w:val="clear" w:color="auto" w:fill="ECECEC"/>
            <w:vAlign w:val="center"/>
            <w:hideMark/>
          </w:tcPr>
          <w:p w:rsidR="002856AA" w:rsidRPr="002856AA" w:rsidRDefault="002856AA" w:rsidP="00814F4D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 </w:t>
            </w:r>
          </w:p>
        </w:tc>
      </w:tr>
    </w:tbl>
    <w:p w:rsidR="002856AA" w:rsidRPr="002856AA" w:rsidRDefault="00814F4D" w:rsidP="002856AA">
      <w:pPr>
        <w:spacing w:after="0" w:line="240" w:lineRule="auto"/>
        <w:rPr>
          <w:rFonts w:ascii="Arial" w:eastAsia="Times New Roman" w:hAnsi="Arial" w:cs="Arial"/>
          <w:vanish/>
          <w:color w:val="383838"/>
          <w:sz w:val="18"/>
          <w:szCs w:val="18"/>
          <w:lang w:eastAsia="en-AU"/>
        </w:rPr>
      </w:pPr>
      <w:r>
        <w:rPr>
          <w:rFonts w:ascii="Arial" w:eastAsia="Times New Roman" w:hAnsi="Arial" w:cs="Arial"/>
          <w:vanish/>
          <w:color w:val="383838"/>
          <w:sz w:val="18"/>
          <w:szCs w:val="18"/>
          <w:lang w:eastAsia="en-AU"/>
        </w:rPr>
        <w:br w:type="textWrapping" w:clear="all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1482"/>
        <w:gridCol w:w="210"/>
        <w:gridCol w:w="1482"/>
        <w:gridCol w:w="210"/>
        <w:gridCol w:w="1482"/>
        <w:gridCol w:w="210"/>
        <w:gridCol w:w="1482"/>
        <w:gridCol w:w="210"/>
        <w:gridCol w:w="1602"/>
        <w:gridCol w:w="210"/>
        <w:gridCol w:w="1617"/>
      </w:tblGrid>
      <w:tr w:rsidR="002856AA" w:rsidRPr="002856AA" w:rsidTr="002856AA">
        <w:trPr>
          <w:tblCellSpacing w:w="15" w:type="dxa"/>
        </w:trPr>
        <w:tc>
          <w:tcPr>
            <w:tcW w:w="180" w:type="dxa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</w:p>
        </w:tc>
        <w:tc>
          <w:tcPr>
            <w:tcW w:w="0" w:type="auto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1,00 &gt;= p &gt;= 0,75</w:t>
            </w:r>
          </w:p>
        </w:tc>
        <w:tc>
          <w:tcPr>
            <w:tcW w:w="180" w:type="dxa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</w:p>
        </w:tc>
        <w:tc>
          <w:tcPr>
            <w:tcW w:w="0" w:type="auto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0,74 &gt;= p &gt;= 0,50</w:t>
            </w:r>
          </w:p>
        </w:tc>
        <w:tc>
          <w:tcPr>
            <w:tcW w:w="180" w:type="dxa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</w:p>
        </w:tc>
        <w:tc>
          <w:tcPr>
            <w:tcW w:w="0" w:type="auto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0,49 &gt;= p &gt;= 0,25</w:t>
            </w:r>
          </w:p>
        </w:tc>
        <w:tc>
          <w:tcPr>
            <w:tcW w:w="180" w:type="dxa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</w:p>
        </w:tc>
        <w:tc>
          <w:tcPr>
            <w:tcW w:w="0" w:type="auto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0,24 &gt;= p &gt;= 0,00</w:t>
            </w:r>
          </w:p>
        </w:tc>
        <w:tc>
          <w:tcPr>
            <w:tcW w:w="180" w:type="dxa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</w:p>
        </w:tc>
        <w:tc>
          <w:tcPr>
            <w:tcW w:w="0" w:type="auto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-0,01 &gt;= p &gt;= -0,25</w:t>
            </w:r>
          </w:p>
        </w:tc>
        <w:tc>
          <w:tcPr>
            <w:tcW w:w="180" w:type="dxa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</w:p>
        </w:tc>
        <w:tc>
          <w:tcPr>
            <w:tcW w:w="0" w:type="auto"/>
            <w:vAlign w:val="center"/>
            <w:hideMark/>
          </w:tcPr>
          <w:p w:rsidR="002856AA" w:rsidRPr="002856AA" w:rsidRDefault="002856AA" w:rsidP="002856AA">
            <w:pPr>
              <w:spacing w:after="0" w:line="240" w:lineRule="auto"/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</w:pPr>
            <w:r w:rsidRPr="002856AA">
              <w:rPr>
                <w:rFonts w:ascii="Arial" w:eastAsia="Times New Roman" w:hAnsi="Arial" w:cs="Arial"/>
                <w:color w:val="383838"/>
                <w:sz w:val="18"/>
                <w:szCs w:val="18"/>
                <w:lang w:eastAsia="en-AU"/>
              </w:rPr>
              <w:t>-0,26 &gt;= p &gt;= -1,00</w:t>
            </w:r>
          </w:p>
        </w:tc>
      </w:tr>
    </w:tbl>
    <w:p w:rsidR="007D4801" w:rsidRDefault="007D4801" w:rsidP="002856AA"/>
    <w:sectPr w:rsidR="007D4801" w:rsidSect="002856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F6DCC"/>
    <w:multiLevelType w:val="multilevel"/>
    <w:tmpl w:val="098C8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83136E"/>
    <w:multiLevelType w:val="multilevel"/>
    <w:tmpl w:val="4878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B069C0"/>
    <w:multiLevelType w:val="multilevel"/>
    <w:tmpl w:val="54AE2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6AA"/>
    <w:rsid w:val="000A0D80"/>
    <w:rsid w:val="00170C7F"/>
    <w:rsid w:val="002856AA"/>
    <w:rsid w:val="003A57F1"/>
    <w:rsid w:val="005079D0"/>
    <w:rsid w:val="007D4801"/>
    <w:rsid w:val="00814F4D"/>
    <w:rsid w:val="00940AC2"/>
    <w:rsid w:val="00BF7220"/>
    <w:rsid w:val="00C52601"/>
    <w:rsid w:val="00EB27B9"/>
    <w:rsid w:val="00FC0BD1"/>
    <w:rsid w:val="00FE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528523-BAA1-469F-9CF0-0DF3186C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56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56AA"/>
    <w:rPr>
      <w:rFonts w:ascii="Courier New" w:eastAsia="Times New Roman" w:hAnsi="Courier New" w:cs="Courier New"/>
      <w:sz w:val="20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354662">
      <w:marLeft w:val="-1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7339">
      <w:marLeft w:val="-1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4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8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131410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696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735183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683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480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106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11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481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3872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709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667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7420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706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927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707312"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7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356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23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522335">
              <w:marLeft w:val="0"/>
              <w:marRight w:val="15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79986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2493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8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9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78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178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7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0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085862"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343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7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299942">
              <w:marLeft w:val="0"/>
              <w:marRight w:val="15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18387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69941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7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9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39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5161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5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4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6ECCF-9A02-4524-848F-8FB4F82E3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Koroneos</dc:creator>
  <cp:keywords/>
  <dc:description/>
  <cp:lastModifiedBy>Gary Koroneos</cp:lastModifiedBy>
  <cp:revision>7</cp:revision>
  <dcterms:created xsi:type="dcterms:W3CDTF">2015-02-06T11:37:00Z</dcterms:created>
  <dcterms:modified xsi:type="dcterms:W3CDTF">2015-02-06T12:10:00Z</dcterms:modified>
</cp:coreProperties>
</file>