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0F1" w:rsidRPr="00AE70F1" w:rsidRDefault="00AE70F1" w:rsidP="00AE70F1">
      <w:pPr>
        <w:spacing w:before="100" w:beforeAutospacing="1" w:after="230" w:line="240" w:lineRule="auto"/>
        <w:outlineLvl w:val="1"/>
        <w:rPr>
          <w:rFonts w:ascii="Times New Roman" w:eastAsia="Times New Roman" w:hAnsi="Times New Roman" w:cs="Times New Roman"/>
          <w:color w:val="99CA3B"/>
          <w:kern w:val="36"/>
          <w:sz w:val="44"/>
          <w:szCs w:val="44"/>
        </w:rPr>
      </w:pPr>
      <w:r w:rsidRPr="00AE70F1">
        <w:rPr>
          <w:rFonts w:ascii="Times New Roman" w:eastAsia="Times New Roman" w:hAnsi="Times New Roman" w:cs="Times New Roman"/>
          <w:color w:val="99CA3B"/>
          <w:kern w:val="36"/>
          <w:sz w:val="44"/>
          <w:szCs w:val="44"/>
        </w:rPr>
        <w:t>Installation and configuration</w:t>
      </w:r>
    </w:p>
    <w:p w:rsidR="00AE70F1" w:rsidRPr="00AE70F1" w:rsidRDefault="00AE70F1" w:rsidP="00AE70F1">
      <w:pPr>
        <w:shd w:val="clear" w:color="auto" w:fill="FFFFFF"/>
        <w:spacing w:before="100" w:beforeAutospacing="1" w:after="115" w:line="408" w:lineRule="auto"/>
        <w:outlineLvl w:val="2"/>
        <w:rPr>
          <w:rFonts w:ascii="Times New Roman" w:eastAsia="Times New Roman" w:hAnsi="Times New Roman" w:cs="Times New Roman"/>
          <w:b/>
          <w:bCs/>
          <w:color w:val="3B5A1C"/>
          <w:sz w:val="29"/>
          <w:szCs w:val="29"/>
        </w:rPr>
      </w:pPr>
      <w:r w:rsidRPr="00AE70F1">
        <w:rPr>
          <w:rFonts w:ascii="Times New Roman" w:eastAsia="Times New Roman" w:hAnsi="Times New Roman" w:cs="Times New Roman"/>
          <w:b/>
          <w:bCs/>
          <w:color w:val="3B5A1C"/>
          <w:sz w:val="29"/>
          <w:szCs w:val="29"/>
        </w:rPr>
        <w:t>Installation</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Times New Roman" w:eastAsia="Times New Roman" w:hAnsi="Times New Roman" w:cs="Times New Roman"/>
          <w:color w:val="1F2114"/>
        </w:rPr>
        <w:t xml:space="preserve">Unpack the downloaded EA archive and locate its contents in </w:t>
      </w:r>
      <w:r w:rsidRPr="00AE70F1">
        <w:rPr>
          <w:rFonts w:ascii="Times New Roman" w:eastAsia="Times New Roman" w:hAnsi="Times New Roman" w:cs="Times New Roman"/>
          <w:i/>
          <w:iCs/>
          <w:color w:val="1F2114"/>
        </w:rPr>
        <w:t>experts</w:t>
      </w:r>
      <w:r w:rsidRPr="00AE70F1">
        <w:rPr>
          <w:rFonts w:ascii="Times New Roman" w:eastAsia="Times New Roman" w:hAnsi="Times New Roman" w:cs="Times New Roman"/>
          <w:color w:val="1F2114"/>
        </w:rPr>
        <w:t xml:space="preserve"> subdirectory of MetaTrader 4 main directory. </w:t>
      </w:r>
    </w:p>
    <w:p w:rsidR="00AE70F1" w:rsidRPr="00AE70F1" w:rsidRDefault="00AE70F1" w:rsidP="00AE70F1">
      <w:pPr>
        <w:shd w:val="clear" w:color="auto" w:fill="FFFFFF"/>
        <w:spacing w:before="100" w:beforeAutospacing="1" w:line="408" w:lineRule="auto"/>
        <w:outlineLvl w:val="2"/>
        <w:rPr>
          <w:rFonts w:ascii="Times New Roman" w:eastAsia="Times New Roman" w:hAnsi="Times New Roman" w:cs="Times New Roman"/>
          <w:b/>
          <w:bCs/>
          <w:color w:val="3B5A1C"/>
          <w:sz w:val="29"/>
          <w:szCs w:val="29"/>
        </w:rPr>
      </w:pPr>
      <w:r w:rsidRPr="00AE70F1">
        <w:rPr>
          <w:rFonts w:ascii="Times New Roman" w:eastAsia="Times New Roman" w:hAnsi="Times New Roman" w:cs="Times New Roman"/>
          <w:b/>
          <w:bCs/>
          <w:color w:val="3B5A1C"/>
          <w:sz w:val="29"/>
          <w:szCs w:val="29"/>
        </w:rPr>
        <w:t>Configuration</w:t>
      </w:r>
    </w:p>
    <w:tbl>
      <w:tblPr>
        <w:tblW w:w="0" w:type="auto"/>
        <w:tblCellSpacing w:w="15" w:type="dxa"/>
        <w:tblCellMar>
          <w:top w:w="15" w:type="dxa"/>
          <w:left w:w="15" w:type="dxa"/>
          <w:bottom w:w="15" w:type="dxa"/>
          <w:right w:w="15" w:type="dxa"/>
        </w:tblCellMar>
        <w:tblLook w:val="04A0"/>
      </w:tblPr>
      <w:tblGrid>
        <w:gridCol w:w="4350"/>
        <w:gridCol w:w="5160"/>
      </w:tblGrid>
      <w:tr w:rsidR="00AE70F1" w:rsidRPr="00AE70F1" w:rsidTr="00AE70F1">
        <w:trPr>
          <w:gridAfter w:val="1"/>
          <w:wAfter w:w="5070" w:type="dxa"/>
          <w:tblCellSpacing w:w="15" w:type="dxa"/>
        </w:trPr>
        <w:tc>
          <w:tcPr>
            <w:tcW w:w="0" w:type="auto"/>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Times New Roman" w:eastAsia="Times New Roman" w:hAnsi="Times New Roman" w:cs="Times New Roman"/>
                <w:color w:val="1F2114"/>
              </w:rPr>
              <w:t xml:space="preserve">The variables responsible for the operation of the EA: </w:t>
            </w:r>
          </w:p>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p>
        </w:tc>
      </w:tr>
      <w:tr w:rsidR="00AE70F1" w:rsidRPr="00AE70F1" w:rsidTr="00AE70F1">
        <w:trPr>
          <w:tblCellSpacing w:w="15" w:type="dxa"/>
        </w:trPr>
        <w:tc>
          <w:tcPr>
            <w:tcW w:w="0" w:type="auto"/>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Times New Roman" w:eastAsia="Times New Roman" w:hAnsi="Times New Roman" w:cs="Times New Roman"/>
                <w:i/>
                <w:iCs/>
                <w:color w:val="1F2114"/>
              </w:rPr>
              <w:t>use_timer</w:t>
            </w:r>
          </w:p>
        </w:tc>
        <w:tc>
          <w:tcPr>
            <w:tcW w:w="0" w:type="auto"/>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Times New Roman" w:eastAsia="Times New Roman" w:hAnsi="Times New Roman" w:cs="Times New Roman"/>
                <w:color w:val="1F2114"/>
              </w:rPr>
              <w:t>Specifies whether to operate in an asynchronous mode.</w:t>
            </w:r>
          </w:p>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Times New Roman" w:eastAsia="Times New Roman" w:hAnsi="Times New Roman" w:cs="Times New Roman"/>
                <w:color w:val="1F2114"/>
              </w:rPr>
              <w:t>Asynchronous mode (true): EA checks every second if any of the orders were edited.</w:t>
            </w:r>
          </w:p>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Times New Roman" w:eastAsia="Times New Roman" w:hAnsi="Times New Roman" w:cs="Times New Roman"/>
                <w:color w:val="1F2114"/>
              </w:rPr>
              <w:t>Synchronous mode (false): checking is done when the tick comes.</w:t>
            </w:r>
          </w:p>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Times New Roman" w:eastAsia="Times New Roman" w:hAnsi="Times New Roman" w:cs="Times New Roman"/>
                <w:color w:val="1F2114"/>
              </w:rPr>
              <w:t>Please note: when use_timer is set to true, editing of the EA settings is not possible - you need to remove it and apply to the chart again.</w:t>
            </w:r>
          </w:p>
        </w:tc>
      </w:tr>
      <w:tr w:rsidR="00AE70F1" w:rsidRPr="00AE70F1" w:rsidTr="00AE70F1">
        <w:trPr>
          <w:tblCellSpacing w:w="15" w:type="dxa"/>
        </w:trPr>
        <w:tc>
          <w:tcPr>
            <w:tcW w:w="0" w:type="auto"/>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Times New Roman" w:eastAsia="Times New Roman" w:hAnsi="Times New Roman" w:cs="Times New Roman"/>
                <w:i/>
                <w:iCs/>
                <w:color w:val="1F2114"/>
              </w:rPr>
              <w:t>delete_on_deinit</w:t>
            </w:r>
          </w:p>
        </w:tc>
        <w:tc>
          <w:tcPr>
            <w:tcW w:w="511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Times New Roman" w:eastAsia="Times New Roman" w:hAnsi="Times New Roman" w:cs="Times New Roman"/>
                <w:color w:val="1F2114"/>
              </w:rPr>
              <w:t>When it is set to true, once EA is removed, all lines that derive from it are removed from the chart.</w:t>
            </w:r>
          </w:p>
        </w:tc>
      </w:tr>
    </w:tbl>
    <w:p w:rsidR="00AE70F1" w:rsidRPr="00AE70F1" w:rsidRDefault="00AE70F1" w:rsidP="00AE70F1">
      <w:pPr>
        <w:shd w:val="clear" w:color="auto" w:fill="FFFFFF"/>
        <w:spacing w:before="100" w:beforeAutospacing="1" w:after="240"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b/>
          <w:bCs/>
          <w:color w:val="1F2114"/>
          <w:sz w:val="27"/>
          <w:szCs w:val="27"/>
        </w:rPr>
        <w:t>Stop Loss</w:t>
      </w:r>
    </w:p>
    <w:p w:rsidR="00AE70F1" w:rsidRPr="00AE70F1" w:rsidRDefault="00AE70F1" w:rsidP="00AE70F1">
      <w:pPr>
        <w:shd w:val="clear" w:color="auto" w:fill="FFFFFF"/>
        <w:spacing w:before="100" w:beforeAutospacing="1" w:line="360" w:lineRule="auto"/>
        <w:jc w:val="center"/>
        <w:rPr>
          <w:rFonts w:ascii="Times New Roman" w:eastAsia="Times New Roman" w:hAnsi="Times New Roman" w:cs="Times New Roman"/>
          <w:color w:val="1F2114"/>
        </w:rPr>
      </w:pPr>
    </w:p>
    <w:tbl>
      <w:tblPr>
        <w:tblW w:w="9570" w:type="dxa"/>
        <w:tblCellSpacing w:w="0" w:type="dxa"/>
        <w:tblBorders>
          <w:top w:val="outset" w:sz="6" w:space="0" w:color="00000A"/>
          <w:left w:val="outset" w:sz="6" w:space="0" w:color="00000A"/>
          <w:bottom w:val="outset" w:sz="6" w:space="0" w:color="00000A"/>
          <w:right w:val="outset" w:sz="6" w:space="0" w:color="00000A"/>
        </w:tblBorders>
        <w:tblCellMar>
          <w:top w:w="60" w:type="dxa"/>
          <w:left w:w="60" w:type="dxa"/>
          <w:bottom w:w="60" w:type="dxa"/>
          <w:right w:w="60" w:type="dxa"/>
        </w:tblCellMar>
        <w:tblLook w:val="04A0"/>
      </w:tblPr>
      <w:tblGrid>
        <w:gridCol w:w="2130"/>
        <w:gridCol w:w="7440"/>
      </w:tblGrid>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default_sl_level</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Size of a default stop loss. When it is set to zero and the stop loss level has not been set for the order, the line will not be drawn.</w:t>
            </w:r>
          </w:p>
        </w:tc>
      </w:tr>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default_trailing_stop</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Size of default trailing stop.</w:t>
            </w:r>
          </w:p>
        </w:tc>
      </w:tr>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sl_color</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stop loss line colour</w:t>
            </w:r>
          </w:p>
        </w:tc>
      </w:tr>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sl_style</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stop loss line style</w:t>
            </w:r>
          </w:p>
        </w:tc>
      </w:tr>
    </w:tbl>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By moving the "lvoe_sl_ ..." line, you can modify stop loss price level of a selected order.</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To activate trailing stop, select the "lvoe_sl_ ..." line for the order for which you want to "pull" stop loss, right click the mouse and choose "Horizontal Line - properties".</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 xml:space="preserve">In the description pane, you will find the entry: </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b/>
          <w:bCs/>
          <w:color w:val="1F2114"/>
        </w:rPr>
        <w:t>#1234567 stop loss</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 xml:space="preserve">To set trailing stop for this order to 20 pips, just type ts=20 at the end </w:t>
      </w:r>
      <w:r w:rsidRPr="00AE70F1">
        <w:rPr>
          <w:rFonts w:ascii="Calibri" w:eastAsia="Times New Roman" w:hAnsi="Calibri" w:cs="Calibri"/>
          <w:b/>
          <w:bCs/>
          <w:color w:val="1F2114"/>
        </w:rPr>
        <w:t>ts=20</w:t>
      </w:r>
      <w:r w:rsidRPr="00AE70F1">
        <w:rPr>
          <w:rFonts w:ascii="Calibri" w:eastAsia="Times New Roman" w:hAnsi="Calibri" w:cs="Calibri"/>
          <w:color w:val="1F2114"/>
        </w:rPr>
        <w:t>, so that the whole formula is:</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b/>
          <w:bCs/>
          <w:color w:val="1F2114"/>
        </w:rPr>
        <w:t>#1234567 stop loss ts=20</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Please note:</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 The number cannot be followed by any character.</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 Similarly, do not enter a space before or after the = character.</w:t>
      </w:r>
      <w:r w:rsidRPr="00AE70F1">
        <w:rPr>
          <w:rFonts w:ascii="Calibri" w:eastAsia="Times New Roman" w:hAnsi="Calibri" w:cs="Calibri"/>
          <w:b/>
          <w:bCs/>
          <w:color w:val="1F2114"/>
        </w:rPr>
        <w:t>=</w:t>
      </w:r>
      <w:r w:rsidRPr="00AE70F1">
        <w:rPr>
          <w:rFonts w:ascii="Calibri" w:eastAsia="Times New Roman" w:hAnsi="Calibri" w:cs="Calibri"/>
          <w:color w:val="1F2114"/>
        </w:rPr>
        <w:t>.</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 Editing an order by moving the line at a distance further than TS will not take any effect: EA will restore the distance resulting from the TS setting.</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 xml:space="preserve">- To remove trailing stop, just edit the description and remove the said ts=20 string. </w:t>
      </w:r>
      <w:r w:rsidRPr="00AE70F1">
        <w:rPr>
          <w:rFonts w:ascii="Calibri" w:eastAsia="Times New Roman" w:hAnsi="Calibri" w:cs="Calibri"/>
          <w:b/>
          <w:bCs/>
          <w:color w:val="1F2114"/>
        </w:rPr>
        <w:t>ts=20</w:t>
      </w:r>
      <w:r w:rsidRPr="00AE70F1">
        <w:rPr>
          <w:rFonts w:ascii="Calibri" w:eastAsia="Times New Roman" w:hAnsi="Calibri" w:cs="Calibri"/>
          <w:color w:val="1F2114"/>
        </w:rPr>
        <w:t>.</w:t>
      </w:r>
    </w:p>
    <w:p w:rsidR="00AE70F1" w:rsidRPr="00AE70F1" w:rsidRDefault="00AE70F1" w:rsidP="00AE70F1">
      <w:pPr>
        <w:shd w:val="clear" w:color="auto" w:fill="FFFFFF"/>
        <w:spacing w:before="100" w:beforeAutospacing="1" w:after="240"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b/>
          <w:bCs/>
          <w:color w:val="1F2114"/>
          <w:sz w:val="27"/>
          <w:szCs w:val="27"/>
        </w:rPr>
        <w:t>Take Profit</w:t>
      </w:r>
    </w:p>
    <w:p w:rsidR="00AE70F1" w:rsidRPr="00AE70F1" w:rsidRDefault="00AE70F1" w:rsidP="00AE70F1">
      <w:pPr>
        <w:shd w:val="clear" w:color="auto" w:fill="FFFFFF"/>
        <w:spacing w:before="100" w:beforeAutospacing="1" w:line="360" w:lineRule="auto"/>
        <w:jc w:val="center"/>
        <w:rPr>
          <w:rFonts w:ascii="Times New Roman" w:eastAsia="Times New Roman" w:hAnsi="Times New Roman" w:cs="Times New Roman"/>
          <w:color w:val="1F2114"/>
        </w:rPr>
      </w:pPr>
    </w:p>
    <w:tbl>
      <w:tblPr>
        <w:tblW w:w="9555" w:type="dxa"/>
        <w:tblCellSpacing w:w="0" w:type="dxa"/>
        <w:tblBorders>
          <w:top w:val="outset" w:sz="6" w:space="0" w:color="00000A"/>
          <w:left w:val="outset" w:sz="6" w:space="0" w:color="00000A"/>
          <w:bottom w:val="outset" w:sz="6" w:space="0" w:color="00000A"/>
          <w:right w:val="outset" w:sz="6" w:space="0" w:color="00000A"/>
        </w:tblBorders>
        <w:tblCellMar>
          <w:top w:w="60" w:type="dxa"/>
          <w:left w:w="60" w:type="dxa"/>
          <w:bottom w:w="60" w:type="dxa"/>
          <w:right w:w="60" w:type="dxa"/>
        </w:tblCellMar>
        <w:tblLook w:val="04A0"/>
      </w:tblPr>
      <w:tblGrid>
        <w:gridCol w:w="2115"/>
        <w:gridCol w:w="7440"/>
      </w:tblGrid>
      <w:tr w:rsidR="00AE70F1" w:rsidRPr="00AE70F1" w:rsidTr="00AE70F1">
        <w:trPr>
          <w:tblCellSpacing w:w="0" w:type="dxa"/>
        </w:trPr>
        <w:tc>
          <w:tcPr>
            <w:tcW w:w="2055"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default_tp_level</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WSize of a default take profit. When it is set to zero and the take profit level has not been set for the order, the line will not be drawn</w:t>
            </w:r>
          </w:p>
        </w:tc>
      </w:tr>
      <w:tr w:rsidR="00AE70F1" w:rsidRPr="00AE70F1" w:rsidTr="00AE70F1">
        <w:trPr>
          <w:tblCellSpacing w:w="0" w:type="dxa"/>
        </w:trPr>
        <w:tc>
          <w:tcPr>
            <w:tcW w:w="2055"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tp_color</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Take profit line colour</w:t>
            </w:r>
          </w:p>
        </w:tc>
      </w:tr>
      <w:tr w:rsidR="00AE70F1" w:rsidRPr="00AE70F1" w:rsidTr="00AE70F1">
        <w:trPr>
          <w:tblCellSpacing w:w="0" w:type="dxa"/>
        </w:trPr>
        <w:tc>
          <w:tcPr>
            <w:tcW w:w="2055"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tp_style</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Take profit line style</w:t>
            </w:r>
          </w:p>
        </w:tc>
      </w:tr>
    </w:tbl>
    <w:p w:rsidR="00AE70F1" w:rsidRPr="00AE70F1" w:rsidRDefault="00AE70F1" w:rsidP="00AE70F1">
      <w:pPr>
        <w:shd w:val="clear" w:color="auto" w:fill="FFFFFF"/>
        <w:spacing w:before="100" w:beforeAutospacing="1" w:after="240"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By moving the "lvoe_tp_..." line, you can modify the take profit price level of a selected order.</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b/>
          <w:bCs/>
          <w:color w:val="1F2114"/>
          <w:sz w:val="27"/>
          <w:szCs w:val="27"/>
        </w:rPr>
        <w:t>Break Even</w:t>
      </w:r>
    </w:p>
    <w:p w:rsidR="00AE70F1" w:rsidRPr="00AE70F1" w:rsidRDefault="00AE70F1" w:rsidP="00AE70F1">
      <w:pPr>
        <w:shd w:val="clear" w:color="auto" w:fill="FFFFFF"/>
        <w:spacing w:before="100" w:beforeAutospacing="1" w:line="360" w:lineRule="auto"/>
        <w:jc w:val="center"/>
        <w:rPr>
          <w:rFonts w:ascii="Times New Roman" w:eastAsia="Times New Roman" w:hAnsi="Times New Roman" w:cs="Times New Roman"/>
          <w:color w:val="1F2114"/>
        </w:rPr>
      </w:pPr>
    </w:p>
    <w:tbl>
      <w:tblPr>
        <w:tblW w:w="9570" w:type="dxa"/>
        <w:tblCellSpacing w:w="0" w:type="dxa"/>
        <w:tblBorders>
          <w:top w:val="outset" w:sz="6" w:space="0" w:color="00000A"/>
          <w:left w:val="outset" w:sz="6" w:space="0" w:color="00000A"/>
          <w:bottom w:val="outset" w:sz="6" w:space="0" w:color="00000A"/>
          <w:right w:val="outset" w:sz="6" w:space="0" w:color="00000A"/>
        </w:tblBorders>
        <w:tblCellMar>
          <w:top w:w="60" w:type="dxa"/>
          <w:left w:w="60" w:type="dxa"/>
          <w:bottom w:w="60" w:type="dxa"/>
          <w:right w:w="60" w:type="dxa"/>
        </w:tblCellMar>
        <w:tblLook w:val="04A0"/>
      </w:tblPr>
      <w:tblGrid>
        <w:gridCol w:w="2130"/>
        <w:gridCol w:w="7440"/>
      </w:tblGrid>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lastRenderedPageBreak/>
              <w:t>use_be</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Specifies whether to activate the break even function.</w:t>
            </w:r>
          </w:p>
        </w:tc>
      </w:tr>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default_be_level</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Default break even level.</w:t>
            </w:r>
          </w:p>
        </w:tc>
      </w:tr>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be_offset</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Break even shift.</w:t>
            </w:r>
          </w:p>
        </w:tc>
      </w:tr>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be_color</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Break even line colour.</w:t>
            </w:r>
          </w:p>
        </w:tc>
      </w:tr>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be_style</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Break even line style.</w:t>
            </w:r>
          </w:p>
        </w:tc>
      </w:tr>
    </w:tbl>
    <w:p w:rsidR="00AE70F1" w:rsidRPr="00AE70F1" w:rsidRDefault="00AE70F1" w:rsidP="00AE70F1">
      <w:pPr>
        <w:shd w:val="clear" w:color="auto" w:fill="FFFFFF"/>
        <w:spacing w:before="100" w:beforeAutospacing="1" w:after="264" w:line="360" w:lineRule="auto"/>
        <w:jc w:val="center"/>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The break even functionality is activated by setting use_be to true and specifying a default level of default_be_level. By moving the "lvoe_be_ ..." line, you can modify the break even price level of an order. If the line is set and it is exceeded by the price, the order will be secured - stop loss will be shifted so that the position does not bring any losses in case of return (EA sets stop loss at the be_offset distance from the opening price of the order).</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b/>
          <w:bCs/>
          <w:color w:val="1F2114"/>
          <w:sz w:val="27"/>
          <w:szCs w:val="27"/>
        </w:rPr>
        <w:t>Cancel Level</w:t>
      </w:r>
    </w:p>
    <w:p w:rsidR="00AE70F1" w:rsidRPr="00AE70F1" w:rsidRDefault="00AE70F1" w:rsidP="00AE70F1">
      <w:pPr>
        <w:shd w:val="clear" w:color="auto" w:fill="FFFFFF"/>
        <w:spacing w:before="100" w:beforeAutospacing="1" w:line="360" w:lineRule="auto"/>
        <w:jc w:val="center"/>
        <w:rPr>
          <w:rFonts w:ascii="Times New Roman" w:eastAsia="Times New Roman" w:hAnsi="Times New Roman" w:cs="Times New Roman"/>
          <w:color w:val="1F2114"/>
        </w:rPr>
      </w:pPr>
    </w:p>
    <w:tbl>
      <w:tblPr>
        <w:tblW w:w="9555" w:type="dxa"/>
        <w:tblCellSpacing w:w="0" w:type="dxa"/>
        <w:tblBorders>
          <w:top w:val="outset" w:sz="6" w:space="0" w:color="00000A"/>
          <w:left w:val="outset" w:sz="6" w:space="0" w:color="00000A"/>
          <w:bottom w:val="outset" w:sz="6" w:space="0" w:color="00000A"/>
          <w:right w:val="outset" w:sz="6" w:space="0" w:color="00000A"/>
        </w:tblBorders>
        <w:tblCellMar>
          <w:top w:w="60" w:type="dxa"/>
          <w:left w:w="60" w:type="dxa"/>
          <w:bottom w:w="60" w:type="dxa"/>
          <w:right w:w="60" w:type="dxa"/>
        </w:tblCellMar>
        <w:tblLook w:val="04A0"/>
      </w:tblPr>
      <w:tblGrid>
        <w:gridCol w:w="2115"/>
        <w:gridCol w:w="7440"/>
      </w:tblGrid>
      <w:tr w:rsidR="00AE70F1" w:rsidRPr="00AE70F1" w:rsidTr="00AE70F1">
        <w:trPr>
          <w:tblCellSpacing w:w="0" w:type="dxa"/>
        </w:trPr>
        <w:tc>
          <w:tcPr>
            <w:tcW w:w="2055"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use_cl</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Specifies whether to activate the cancel level function.</w:t>
            </w:r>
          </w:p>
        </w:tc>
      </w:tr>
      <w:tr w:rsidR="00AE70F1" w:rsidRPr="00AE70F1" w:rsidTr="00AE70F1">
        <w:trPr>
          <w:tblCellSpacing w:w="0" w:type="dxa"/>
        </w:trPr>
        <w:tc>
          <w:tcPr>
            <w:tcW w:w="2055"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default_cl_level</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Default cancel level.</w:t>
            </w:r>
          </w:p>
        </w:tc>
      </w:tr>
      <w:tr w:rsidR="00AE70F1" w:rsidRPr="00AE70F1" w:rsidTr="00AE70F1">
        <w:trPr>
          <w:tblCellSpacing w:w="0" w:type="dxa"/>
        </w:trPr>
        <w:tc>
          <w:tcPr>
            <w:tcW w:w="2055"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cl_color</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Cancel level line colour.</w:t>
            </w:r>
          </w:p>
        </w:tc>
      </w:tr>
      <w:tr w:rsidR="00AE70F1" w:rsidRPr="00AE70F1" w:rsidTr="00AE70F1">
        <w:trPr>
          <w:tblCellSpacing w:w="0" w:type="dxa"/>
        </w:trPr>
        <w:tc>
          <w:tcPr>
            <w:tcW w:w="2055"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cl_style</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Cancel level line style.</w:t>
            </w:r>
          </w:p>
        </w:tc>
      </w:tr>
    </w:tbl>
    <w:p w:rsidR="00AE70F1" w:rsidRPr="00AE70F1" w:rsidRDefault="00AE70F1" w:rsidP="00AE70F1">
      <w:pPr>
        <w:shd w:val="clear" w:color="auto" w:fill="FFFFFF"/>
        <w:spacing w:before="100" w:beforeAutospacing="1" w:after="264" w:line="360" w:lineRule="auto"/>
        <w:jc w:val="center"/>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lastRenderedPageBreak/>
        <w:t xml:space="preserve">The cancel level functionality is activated by setting use_cl and specifying a default cancel level. If the "lvoe_cl_ ..." line is set and it gets exceeded by the price, the pending order will be cancelled. </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b/>
          <w:bCs/>
          <w:color w:val="1F2114"/>
          <w:sz w:val="27"/>
          <w:szCs w:val="27"/>
        </w:rPr>
        <w:t>Close Part</w:t>
      </w:r>
    </w:p>
    <w:p w:rsidR="00AE70F1" w:rsidRPr="00AE70F1" w:rsidRDefault="00AE70F1" w:rsidP="00AE70F1">
      <w:pPr>
        <w:shd w:val="clear" w:color="auto" w:fill="FFFFFF"/>
        <w:spacing w:before="100" w:beforeAutospacing="1" w:line="360" w:lineRule="auto"/>
        <w:jc w:val="center"/>
        <w:rPr>
          <w:rFonts w:ascii="Times New Roman" w:eastAsia="Times New Roman" w:hAnsi="Times New Roman" w:cs="Times New Roman"/>
          <w:color w:val="1F2114"/>
        </w:rPr>
      </w:pPr>
    </w:p>
    <w:tbl>
      <w:tblPr>
        <w:tblW w:w="9570" w:type="dxa"/>
        <w:tblCellSpacing w:w="0" w:type="dxa"/>
        <w:tblBorders>
          <w:top w:val="outset" w:sz="6" w:space="0" w:color="00000A"/>
          <w:left w:val="outset" w:sz="6" w:space="0" w:color="00000A"/>
          <w:bottom w:val="outset" w:sz="6" w:space="0" w:color="00000A"/>
          <w:right w:val="outset" w:sz="6" w:space="0" w:color="00000A"/>
        </w:tblBorders>
        <w:tblCellMar>
          <w:top w:w="60" w:type="dxa"/>
          <w:left w:w="60" w:type="dxa"/>
          <w:bottom w:w="60" w:type="dxa"/>
          <w:right w:w="60" w:type="dxa"/>
        </w:tblCellMar>
        <w:tblLook w:val="04A0"/>
      </w:tblPr>
      <w:tblGrid>
        <w:gridCol w:w="2130"/>
        <w:gridCol w:w="7440"/>
      </w:tblGrid>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use_cp</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Specifies whether to activate the close part function.</w:t>
            </w:r>
          </w:p>
        </w:tc>
      </w:tr>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cp_size_or_percent</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If true: enter in</w:t>
            </w:r>
            <w:r w:rsidRPr="00AE70F1">
              <w:rPr>
                <w:rFonts w:ascii="Calibri" w:eastAsia="Times New Roman" w:hAnsi="Calibri" w:cs="Calibri"/>
                <w:i/>
                <w:iCs/>
                <w:color w:val="1F2114"/>
              </w:rPr>
              <w:t xml:space="preserve"> cp_lots</w:t>
            </w:r>
            <w:r w:rsidRPr="00AE70F1">
              <w:rPr>
                <w:rFonts w:ascii="Calibri" w:eastAsia="Times New Roman" w:hAnsi="Calibri" w:cs="Calibri"/>
                <w:color w:val="1F2114"/>
              </w:rPr>
              <w:t xml:space="preserve"> the number of lots which EA will close at the next levels designated by </w:t>
            </w:r>
            <w:r w:rsidRPr="00AE70F1">
              <w:rPr>
                <w:rFonts w:ascii="Calibri" w:eastAsia="Times New Roman" w:hAnsi="Calibri" w:cs="Calibri"/>
                <w:i/>
                <w:iCs/>
                <w:color w:val="1F2114"/>
              </w:rPr>
              <w:t>cp_levels</w:t>
            </w:r>
            <w:r w:rsidRPr="00AE70F1">
              <w:rPr>
                <w:rFonts w:ascii="Calibri" w:eastAsia="Times New Roman" w:hAnsi="Calibri" w:cs="Calibri"/>
                <w:color w:val="1F2114"/>
              </w:rPr>
              <w:t xml:space="preserve">. </w:t>
            </w:r>
            <w:r w:rsidRPr="00AE70F1">
              <w:rPr>
                <w:rFonts w:ascii="Calibri" w:eastAsia="Times New Roman" w:hAnsi="Calibri" w:cs="Calibri"/>
                <w:color w:val="1F2114"/>
              </w:rPr>
              <w:br/>
              <w:t xml:space="preserve">If false: enter in </w:t>
            </w:r>
            <w:r w:rsidRPr="00AE70F1">
              <w:rPr>
                <w:rFonts w:ascii="Calibri" w:eastAsia="Times New Roman" w:hAnsi="Calibri" w:cs="Calibri"/>
                <w:i/>
                <w:iCs/>
                <w:color w:val="1F2114"/>
              </w:rPr>
              <w:t>cp_lots</w:t>
            </w:r>
            <w:r w:rsidRPr="00AE70F1">
              <w:rPr>
                <w:rFonts w:ascii="Calibri" w:eastAsia="Times New Roman" w:hAnsi="Calibri" w:cs="Calibri"/>
                <w:color w:val="1F2114"/>
              </w:rPr>
              <w:t xml:space="preserve"> the percentage of lots which will be cumulatively closed at the next </w:t>
            </w:r>
            <w:r w:rsidRPr="00AE70F1">
              <w:rPr>
                <w:rFonts w:ascii="Calibri" w:eastAsia="Times New Roman" w:hAnsi="Calibri" w:cs="Calibri"/>
                <w:i/>
                <w:iCs/>
                <w:color w:val="1F2114"/>
              </w:rPr>
              <w:t>cp_level</w:t>
            </w:r>
            <w:r w:rsidRPr="00AE70F1">
              <w:rPr>
                <w:rFonts w:ascii="Calibri" w:eastAsia="Times New Roman" w:hAnsi="Calibri" w:cs="Calibri"/>
                <w:color w:val="1F2114"/>
              </w:rPr>
              <w:t>.</w:t>
            </w:r>
          </w:p>
        </w:tc>
      </w:tr>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cp_levels</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Consecutive default closing levels of some positions are calculated in pips from the position opening level.</w:t>
            </w:r>
          </w:p>
        </w:tc>
      </w:tr>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cp_lots</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The number (or percentage) of position lots which should be closed.</w:t>
            </w:r>
          </w:p>
        </w:tc>
      </w:tr>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cp_color</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close part line colour.</w:t>
            </w:r>
          </w:p>
        </w:tc>
      </w:tr>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cp_style</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Close part line style.</w:t>
            </w:r>
          </w:p>
        </w:tc>
      </w:tr>
    </w:tbl>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 xml:space="preserve">By moving the "lvoe_cp_ ..." line, you can modify the level which results in closing of the positions designated by cp_lots when it is exceeded. </w:t>
      </w:r>
      <w:r w:rsidRPr="00AE70F1">
        <w:rPr>
          <w:rFonts w:ascii="Calibri" w:eastAsia="Times New Roman" w:hAnsi="Calibri" w:cs="Calibri"/>
          <w:i/>
          <w:iCs/>
          <w:color w:val="1F2114"/>
        </w:rPr>
        <w:t>cp_lots</w:t>
      </w:r>
      <w:r w:rsidRPr="00AE70F1">
        <w:rPr>
          <w:rFonts w:ascii="Calibri" w:eastAsia="Times New Roman" w:hAnsi="Calibri" w:cs="Calibri"/>
          <w:color w:val="1F2114"/>
        </w:rPr>
        <w:t>.</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lastRenderedPageBreak/>
        <w:t>Below you can find example scenarios of the default settings for the close part function:</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b/>
          <w:bCs/>
          <w:color w:val="1F2114"/>
        </w:rPr>
        <w:t xml:space="preserve">Example 1. </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We are opening a position for 6 lots with the set parameters:</w:t>
      </w:r>
    </w:p>
    <w:p w:rsidR="00AE70F1" w:rsidRPr="00AE70F1" w:rsidRDefault="00AE70F1" w:rsidP="00AE70F1">
      <w:pPr>
        <w:shd w:val="clear" w:color="auto" w:fill="FFFFFF"/>
        <w:spacing w:before="100" w:beforeAutospacing="1" w:line="360" w:lineRule="auto"/>
        <w:rPr>
          <w:rFonts w:ascii="Times New Roman" w:eastAsia="Times New Roman" w:hAnsi="Times New Roman" w:cs="Times New Roman"/>
          <w:color w:val="1F2114"/>
        </w:rPr>
      </w:pPr>
    </w:p>
    <w:tbl>
      <w:tblPr>
        <w:tblW w:w="3825" w:type="dxa"/>
        <w:tblCellSpacing w:w="0" w:type="dxa"/>
        <w:tblCellMar>
          <w:top w:w="105" w:type="dxa"/>
          <w:left w:w="105" w:type="dxa"/>
          <w:bottom w:w="105" w:type="dxa"/>
          <w:right w:w="105" w:type="dxa"/>
        </w:tblCellMar>
        <w:tblLook w:val="04A0"/>
      </w:tblPr>
      <w:tblGrid>
        <w:gridCol w:w="2466"/>
        <w:gridCol w:w="1359"/>
      </w:tblGrid>
      <w:tr w:rsidR="00AE70F1" w:rsidRPr="00AE70F1" w:rsidTr="00AE70F1">
        <w:trPr>
          <w:tblCellSpacing w:w="0" w:type="dxa"/>
        </w:trPr>
        <w:tc>
          <w:tcPr>
            <w:tcW w:w="220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cp_size_or_percent</w:t>
            </w:r>
          </w:p>
        </w:tc>
        <w:tc>
          <w:tcPr>
            <w:tcW w:w="121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 true;</w:t>
            </w:r>
          </w:p>
        </w:tc>
      </w:tr>
      <w:tr w:rsidR="00AE70F1" w:rsidRPr="00AE70F1" w:rsidTr="00AE70F1">
        <w:trPr>
          <w:tblCellSpacing w:w="0" w:type="dxa"/>
        </w:trPr>
        <w:tc>
          <w:tcPr>
            <w:tcW w:w="220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cp_levels</w:t>
            </w:r>
          </w:p>
        </w:tc>
        <w:tc>
          <w:tcPr>
            <w:tcW w:w="121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 20,30,40</w:t>
            </w:r>
            <w:r w:rsidRPr="00AE70F1">
              <w:rPr>
                <w:rFonts w:ascii="Calibri" w:eastAsia="Times New Roman" w:hAnsi="Calibri" w:cs="Calibri"/>
                <w:i/>
                <w:iCs/>
                <w:color w:val="1F2114"/>
              </w:rPr>
              <w:t>;</w:t>
            </w:r>
          </w:p>
        </w:tc>
      </w:tr>
      <w:tr w:rsidR="00AE70F1" w:rsidRPr="00AE70F1" w:rsidTr="00AE70F1">
        <w:trPr>
          <w:tblCellSpacing w:w="0" w:type="dxa"/>
        </w:trPr>
        <w:tc>
          <w:tcPr>
            <w:tcW w:w="220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cp_lots</w:t>
            </w:r>
          </w:p>
        </w:tc>
        <w:tc>
          <w:tcPr>
            <w:tcW w:w="121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 3,2,100;</w:t>
            </w:r>
          </w:p>
        </w:tc>
      </w:tr>
    </w:tbl>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After making the profit of 20 pips, EA will close 3 lots and determine the level of the next closing at 10 pips (i.e. 30 from the opening of the position). After making the profit of 30 pips, the next 2 lots will be closed and the closing level will again go 10 pips further. The last of the six lots will be closed at the level of 40 pips from the opening price.</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b/>
          <w:bCs/>
          <w:color w:val="1F2114"/>
        </w:rPr>
        <w:t>Example 2.</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bookmarkStart w:id="0" w:name="_GoBack"/>
      <w:bookmarkEnd w:id="0"/>
      <w:r w:rsidRPr="00AE70F1">
        <w:rPr>
          <w:rFonts w:ascii="Calibri" w:eastAsia="Times New Roman" w:hAnsi="Calibri" w:cs="Calibri"/>
          <w:color w:val="1F2114"/>
        </w:rPr>
        <w:t xml:space="preserve">We are opening a position for 10 lots with the set parameters: </w:t>
      </w:r>
    </w:p>
    <w:p w:rsidR="00AE70F1" w:rsidRPr="00AE70F1" w:rsidRDefault="00AE70F1" w:rsidP="00AE70F1">
      <w:pPr>
        <w:shd w:val="clear" w:color="auto" w:fill="FFFFFF"/>
        <w:spacing w:before="100" w:beforeAutospacing="1" w:line="360" w:lineRule="auto"/>
        <w:rPr>
          <w:rFonts w:ascii="Times New Roman" w:eastAsia="Times New Roman" w:hAnsi="Times New Roman" w:cs="Times New Roman"/>
          <w:color w:val="1F2114"/>
        </w:rPr>
      </w:pPr>
    </w:p>
    <w:tbl>
      <w:tblPr>
        <w:tblW w:w="4815" w:type="dxa"/>
        <w:tblCellSpacing w:w="0" w:type="dxa"/>
        <w:tblCellMar>
          <w:top w:w="105" w:type="dxa"/>
          <w:left w:w="105" w:type="dxa"/>
          <w:bottom w:w="105" w:type="dxa"/>
          <w:right w:w="105" w:type="dxa"/>
        </w:tblCellMar>
        <w:tblLook w:val="04A0"/>
      </w:tblPr>
      <w:tblGrid>
        <w:gridCol w:w="2407"/>
        <w:gridCol w:w="2408"/>
      </w:tblGrid>
      <w:tr w:rsidR="00AE70F1" w:rsidRPr="00AE70F1" w:rsidTr="00AE70F1">
        <w:trPr>
          <w:tblCellSpacing w:w="0" w:type="dxa"/>
        </w:trPr>
        <w:tc>
          <w:tcPr>
            <w:tcW w:w="220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cp_size_or_percent</w:t>
            </w:r>
          </w:p>
        </w:tc>
        <w:tc>
          <w:tcPr>
            <w:tcW w:w="220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 false;</w:t>
            </w:r>
          </w:p>
        </w:tc>
      </w:tr>
      <w:tr w:rsidR="00AE70F1" w:rsidRPr="00AE70F1" w:rsidTr="00AE70F1">
        <w:trPr>
          <w:tblCellSpacing w:w="0" w:type="dxa"/>
        </w:trPr>
        <w:tc>
          <w:tcPr>
            <w:tcW w:w="220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cp_levels</w:t>
            </w:r>
          </w:p>
        </w:tc>
        <w:tc>
          <w:tcPr>
            <w:tcW w:w="220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 5,10,15,40,60,70,90</w:t>
            </w:r>
            <w:r w:rsidRPr="00AE70F1">
              <w:rPr>
                <w:rFonts w:ascii="Calibri" w:eastAsia="Times New Roman" w:hAnsi="Calibri" w:cs="Calibri"/>
                <w:i/>
                <w:iCs/>
                <w:color w:val="1F2114"/>
              </w:rPr>
              <w:t>;</w:t>
            </w:r>
          </w:p>
        </w:tc>
      </w:tr>
      <w:tr w:rsidR="00AE70F1" w:rsidRPr="00AE70F1" w:rsidTr="00AE70F1">
        <w:trPr>
          <w:tblCellSpacing w:w="0" w:type="dxa"/>
        </w:trPr>
        <w:tc>
          <w:tcPr>
            <w:tcW w:w="220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lastRenderedPageBreak/>
              <w:t>cp_lots</w:t>
            </w:r>
          </w:p>
        </w:tc>
        <w:tc>
          <w:tcPr>
            <w:tcW w:w="220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 12.5,25,50,90;</w:t>
            </w:r>
          </w:p>
        </w:tc>
      </w:tr>
    </w:tbl>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 xml:space="preserve">After making the profit of 5 pips, EA will close 1.25 lots and determine the level of the next closing at 5 pips (i.e. 10 from the opening of the position). After making the profit of 10 pips, the next 1.25 lots will be closed (i.e. 2.5 in total) and the closing level will again go 5 pips further. At the level of 15 pips from the opening of the position, 2.5 lots will be closed (i.e. 50% from the beginning in total), while after exceeding the level of 40 pips, only 10% of the initial position will be left. Further closing levels are ignored since there are only four numbers in the </w:t>
      </w:r>
      <w:r w:rsidRPr="00AE70F1">
        <w:rPr>
          <w:rFonts w:ascii="Calibri" w:eastAsia="Times New Roman" w:hAnsi="Calibri" w:cs="Calibri"/>
          <w:i/>
          <w:iCs/>
          <w:color w:val="1F2114"/>
        </w:rPr>
        <w:t>cp_lots</w:t>
      </w:r>
      <w:r w:rsidRPr="00AE70F1">
        <w:rPr>
          <w:rFonts w:ascii="Calibri" w:eastAsia="Times New Roman" w:hAnsi="Calibri" w:cs="Calibri"/>
          <w:color w:val="1F2114"/>
        </w:rPr>
        <w:t xml:space="preserve"> variable..</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 xml:space="preserve">Please note </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 xml:space="preserve">- The parameters </w:t>
      </w:r>
      <w:r w:rsidRPr="00AE70F1">
        <w:rPr>
          <w:rFonts w:ascii="Calibri" w:eastAsia="Times New Roman" w:hAnsi="Calibri" w:cs="Calibri"/>
          <w:i/>
          <w:iCs/>
          <w:color w:val="1F2114"/>
        </w:rPr>
        <w:t>cp_lots</w:t>
      </w:r>
      <w:r w:rsidRPr="00AE70F1">
        <w:rPr>
          <w:rFonts w:ascii="Calibri" w:eastAsia="Times New Roman" w:hAnsi="Calibri" w:cs="Calibri"/>
          <w:color w:val="1F2114"/>
        </w:rPr>
        <w:t xml:space="preserve"> and </w:t>
      </w:r>
      <w:r w:rsidRPr="00AE70F1">
        <w:rPr>
          <w:rFonts w:ascii="Calibri" w:eastAsia="Times New Roman" w:hAnsi="Calibri" w:cs="Calibri"/>
          <w:i/>
          <w:iCs/>
          <w:color w:val="1F2114"/>
        </w:rPr>
        <w:t>cp_levels</w:t>
      </w:r>
      <w:r w:rsidRPr="00AE70F1">
        <w:rPr>
          <w:rFonts w:ascii="Calibri" w:eastAsia="Times New Roman" w:hAnsi="Calibri" w:cs="Calibri"/>
          <w:color w:val="1F2114"/>
        </w:rPr>
        <w:t xml:space="preserve"> cannot contain any spaces or other characters between the numbers, but only "," (comma) as a separator.</w:t>
      </w:r>
      <w:r w:rsidRPr="00AE70F1">
        <w:rPr>
          <w:rFonts w:ascii="Calibri" w:eastAsia="Times New Roman" w:hAnsi="Calibri" w:cs="Calibri"/>
          <w:b/>
          <w:bCs/>
          <w:color w:val="1F2114"/>
        </w:rPr>
        <w:t>.</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b/>
          <w:bCs/>
          <w:color w:val="1F2114"/>
          <w:sz w:val="27"/>
          <w:szCs w:val="27"/>
        </w:rPr>
        <w:t>Open Level</w:t>
      </w:r>
    </w:p>
    <w:p w:rsidR="00AE70F1" w:rsidRPr="00AE70F1" w:rsidRDefault="00AE70F1" w:rsidP="00AE70F1">
      <w:pPr>
        <w:shd w:val="clear" w:color="auto" w:fill="FFFFFF"/>
        <w:spacing w:before="100" w:beforeAutospacing="1" w:line="360" w:lineRule="auto"/>
        <w:rPr>
          <w:rFonts w:ascii="Times New Roman" w:eastAsia="Times New Roman" w:hAnsi="Times New Roman" w:cs="Times New Roman"/>
          <w:color w:val="1F2114"/>
        </w:rPr>
      </w:pPr>
    </w:p>
    <w:tbl>
      <w:tblPr>
        <w:tblW w:w="9570" w:type="dxa"/>
        <w:tblCellSpacing w:w="0" w:type="dxa"/>
        <w:tblBorders>
          <w:top w:val="outset" w:sz="6" w:space="0" w:color="00000A"/>
          <w:left w:val="outset" w:sz="6" w:space="0" w:color="00000A"/>
          <w:bottom w:val="outset" w:sz="6" w:space="0" w:color="00000A"/>
          <w:right w:val="outset" w:sz="6" w:space="0" w:color="00000A"/>
        </w:tblBorders>
        <w:tblCellMar>
          <w:top w:w="60" w:type="dxa"/>
          <w:left w:w="60" w:type="dxa"/>
          <w:bottom w:w="60" w:type="dxa"/>
          <w:right w:w="60" w:type="dxa"/>
        </w:tblCellMar>
        <w:tblLook w:val="04A0"/>
      </w:tblPr>
      <w:tblGrid>
        <w:gridCol w:w="2130"/>
        <w:gridCol w:w="7440"/>
      </w:tblGrid>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ol_sell_color</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SELL pending orders line colour</w:t>
            </w:r>
          </w:p>
        </w:tc>
      </w:tr>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ol_sell_style</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SELL pending orders line style</w:t>
            </w:r>
          </w:p>
        </w:tc>
      </w:tr>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ol_buy_color</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BUY pending orders line colour</w:t>
            </w:r>
          </w:p>
        </w:tc>
      </w:tr>
      <w:tr w:rsidR="00AE70F1" w:rsidRPr="00AE70F1" w:rsidTr="00AE70F1">
        <w:trPr>
          <w:tblCellSpacing w:w="0" w:type="dxa"/>
        </w:trPr>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i/>
                <w:iCs/>
                <w:color w:val="1F2114"/>
              </w:rPr>
              <w:t>ol_buy_style</w:t>
            </w:r>
          </w:p>
        </w:tc>
        <w:tc>
          <w:tcPr>
            <w:tcW w:w="7230" w:type="dxa"/>
            <w:tcBorders>
              <w:top w:val="single" w:sz="4" w:space="0" w:color="000000"/>
              <w:left w:val="single" w:sz="4" w:space="0" w:color="000000"/>
              <w:bottom w:val="single" w:sz="4" w:space="0" w:color="000000"/>
              <w:right w:val="single" w:sz="4" w:space="0" w:color="000000"/>
            </w:tcBorders>
            <w:shd w:val="clear" w:color="auto" w:fill="FFFFFF"/>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BUY pending orders line style</w:t>
            </w:r>
          </w:p>
        </w:tc>
      </w:tr>
    </w:tbl>
    <w:p w:rsidR="00AE70F1" w:rsidRPr="00AE70F1" w:rsidRDefault="00AE70F1" w:rsidP="00AE70F1">
      <w:pPr>
        <w:shd w:val="clear" w:color="auto" w:fill="FFFFFF"/>
        <w:spacing w:before="100" w:beforeAutospacing="1" w:after="240"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lastRenderedPageBreak/>
        <w:t>By moving the "lvoe_ol_ ..." line, you can modify the opening price of a selected pending order.</w:t>
      </w:r>
    </w:p>
    <w:p w:rsidR="00AE70F1" w:rsidRPr="00AE70F1" w:rsidRDefault="00AE70F1" w:rsidP="00AE70F1">
      <w:pPr>
        <w:pBdr>
          <w:bottom w:val="single" w:sz="4" w:space="1" w:color="auto"/>
        </w:pBdr>
        <w:shd w:val="clear" w:color="auto" w:fill="FFFFFF"/>
        <w:spacing w:before="100" w:beforeAutospacing="1" w:after="240" w:line="360" w:lineRule="auto"/>
        <w:rPr>
          <w:rFonts w:ascii="Times New Roman" w:eastAsia="Times New Roman" w:hAnsi="Times New Roman" w:cs="Times New Roman"/>
          <w:color w:val="1F2114"/>
        </w:rPr>
      </w:pPr>
    </w:p>
    <w:p w:rsidR="00AE70F1" w:rsidRPr="00AE70F1" w:rsidRDefault="00AE70F1" w:rsidP="00AE70F1">
      <w:pPr>
        <w:pBdr>
          <w:bottom w:val="single" w:sz="4" w:space="1" w:color="auto"/>
        </w:pBdr>
        <w:shd w:val="clear" w:color="auto" w:fill="FFFFFF"/>
        <w:spacing w:before="100" w:beforeAutospacing="1" w:after="240"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Possible values of the "..._ style "parameter responsible for line style:</w:t>
      </w:r>
    </w:p>
    <w:p w:rsidR="00AE70F1" w:rsidRPr="00AE70F1" w:rsidRDefault="00AE70F1" w:rsidP="00AE70F1">
      <w:pPr>
        <w:shd w:val="clear" w:color="auto" w:fill="FFFFFF"/>
        <w:spacing w:before="100" w:beforeAutospacing="1" w:after="264" w:line="360" w:lineRule="auto"/>
        <w:rPr>
          <w:rFonts w:ascii="Times New Roman" w:eastAsia="Times New Roman" w:hAnsi="Times New Roman" w:cs="Times New Roman"/>
          <w:color w:val="1F2114"/>
        </w:rPr>
      </w:pPr>
    </w:p>
    <w:p w:rsidR="00AE70F1" w:rsidRPr="00AE70F1" w:rsidRDefault="00AE70F1" w:rsidP="00AE70F1">
      <w:pPr>
        <w:shd w:val="clear" w:color="auto" w:fill="FFFFFF"/>
        <w:spacing w:before="100" w:beforeAutospacing="1" w:line="360" w:lineRule="auto"/>
        <w:rPr>
          <w:rFonts w:ascii="Times New Roman" w:eastAsia="Times New Roman" w:hAnsi="Times New Roman" w:cs="Times New Roman"/>
          <w:color w:val="1F2114"/>
        </w:rPr>
      </w:pPr>
    </w:p>
    <w:tbl>
      <w:tblPr>
        <w:tblW w:w="2700" w:type="dxa"/>
        <w:jc w:val="center"/>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tblPr>
      <w:tblGrid>
        <w:gridCol w:w="242"/>
        <w:gridCol w:w="2458"/>
      </w:tblGrid>
      <w:tr w:rsidR="00AE70F1" w:rsidRPr="00AE70F1" w:rsidTr="00AE70F1">
        <w:trPr>
          <w:tblCellSpacing w:w="0" w:type="dxa"/>
          <w:jc w:val="center"/>
        </w:trPr>
        <w:tc>
          <w:tcPr>
            <w:tcW w:w="19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jc w:val="center"/>
              <w:rPr>
                <w:rFonts w:ascii="Times New Roman" w:eastAsia="Times New Roman" w:hAnsi="Times New Roman" w:cs="Times New Roman"/>
                <w:color w:val="1F2114"/>
              </w:rPr>
            </w:pPr>
            <w:r w:rsidRPr="00AE70F1">
              <w:rPr>
                <w:rFonts w:ascii="Calibri" w:eastAsia="Times New Roman" w:hAnsi="Calibri" w:cs="Calibri"/>
                <w:color w:val="1F2114"/>
              </w:rPr>
              <w:t>0</w:t>
            </w:r>
          </w:p>
        </w:tc>
        <w:tc>
          <w:tcPr>
            <w:tcW w:w="205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STYLE_SOLID</w:t>
            </w:r>
          </w:p>
        </w:tc>
      </w:tr>
      <w:tr w:rsidR="00AE70F1" w:rsidRPr="00AE70F1" w:rsidTr="00AE70F1">
        <w:trPr>
          <w:tblCellSpacing w:w="0" w:type="dxa"/>
          <w:jc w:val="center"/>
        </w:trPr>
        <w:tc>
          <w:tcPr>
            <w:tcW w:w="19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jc w:val="center"/>
              <w:rPr>
                <w:rFonts w:ascii="Times New Roman" w:eastAsia="Times New Roman" w:hAnsi="Times New Roman" w:cs="Times New Roman"/>
                <w:color w:val="1F2114"/>
              </w:rPr>
            </w:pPr>
            <w:r w:rsidRPr="00AE70F1">
              <w:rPr>
                <w:rFonts w:ascii="Calibri" w:eastAsia="Times New Roman" w:hAnsi="Calibri" w:cs="Calibri"/>
                <w:color w:val="1F2114"/>
              </w:rPr>
              <w:t>1</w:t>
            </w:r>
          </w:p>
        </w:tc>
        <w:tc>
          <w:tcPr>
            <w:tcW w:w="205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STYLE_DASH</w:t>
            </w:r>
          </w:p>
        </w:tc>
      </w:tr>
      <w:tr w:rsidR="00AE70F1" w:rsidRPr="00AE70F1" w:rsidTr="00AE70F1">
        <w:trPr>
          <w:tblCellSpacing w:w="0" w:type="dxa"/>
          <w:jc w:val="center"/>
        </w:trPr>
        <w:tc>
          <w:tcPr>
            <w:tcW w:w="19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jc w:val="center"/>
              <w:rPr>
                <w:rFonts w:ascii="Times New Roman" w:eastAsia="Times New Roman" w:hAnsi="Times New Roman" w:cs="Times New Roman"/>
                <w:color w:val="1F2114"/>
              </w:rPr>
            </w:pPr>
            <w:r w:rsidRPr="00AE70F1">
              <w:rPr>
                <w:rFonts w:ascii="Calibri" w:eastAsia="Times New Roman" w:hAnsi="Calibri" w:cs="Calibri"/>
                <w:color w:val="1F2114"/>
              </w:rPr>
              <w:t>2</w:t>
            </w:r>
          </w:p>
        </w:tc>
        <w:tc>
          <w:tcPr>
            <w:tcW w:w="205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STYLE_DOT</w:t>
            </w:r>
          </w:p>
        </w:tc>
      </w:tr>
      <w:tr w:rsidR="00AE70F1" w:rsidRPr="00AE70F1" w:rsidTr="00AE70F1">
        <w:trPr>
          <w:tblCellSpacing w:w="0" w:type="dxa"/>
          <w:jc w:val="center"/>
        </w:trPr>
        <w:tc>
          <w:tcPr>
            <w:tcW w:w="19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jc w:val="center"/>
              <w:rPr>
                <w:rFonts w:ascii="Times New Roman" w:eastAsia="Times New Roman" w:hAnsi="Times New Roman" w:cs="Times New Roman"/>
                <w:color w:val="1F2114"/>
              </w:rPr>
            </w:pPr>
            <w:r w:rsidRPr="00AE70F1">
              <w:rPr>
                <w:rFonts w:ascii="Calibri" w:eastAsia="Times New Roman" w:hAnsi="Calibri" w:cs="Calibri"/>
                <w:color w:val="1F2114"/>
              </w:rPr>
              <w:t>3</w:t>
            </w:r>
          </w:p>
        </w:tc>
        <w:tc>
          <w:tcPr>
            <w:tcW w:w="205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STYLE_DASHDOT</w:t>
            </w:r>
          </w:p>
        </w:tc>
      </w:tr>
      <w:tr w:rsidR="00AE70F1" w:rsidRPr="00AE70F1" w:rsidTr="00AE70F1">
        <w:trPr>
          <w:tblCellSpacing w:w="0" w:type="dxa"/>
          <w:jc w:val="center"/>
        </w:trPr>
        <w:tc>
          <w:tcPr>
            <w:tcW w:w="19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jc w:val="center"/>
              <w:rPr>
                <w:rFonts w:ascii="Times New Roman" w:eastAsia="Times New Roman" w:hAnsi="Times New Roman" w:cs="Times New Roman"/>
                <w:color w:val="1F2114"/>
              </w:rPr>
            </w:pPr>
            <w:r w:rsidRPr="00AE70F1">
              <w:rPr>
                <w:rFonts w:ascii="Calibri" w:eastAsia="Times New Roman" w:hAnsi="Calibri" w:cs="Calibri"/>
                <w:color w:val="1F2114"/>
              </w:rPr>
              <w:t>4</w:t>
            </w:r>
          </w:p>
        </w:tc>
        <w:tc>
          <w:tcPr>
            <w:tcW w:w="2055" w:type="dxa"/>
            <w:tcBorders>
              <w:top w:val="single" w:sz="4" w:space="0" w:color="000000"/>
              <w:left w:val="single" w:sz="4" w:space="0" w:color="000000"/>
              <w:bottom w:val="single" w:sz="4" w:space="0" w:color="000000"/>
              <w:right w:val="single" w:sz="4" w:space="0" w:color="000000"/>
            </w:tcBorders>
            <w:tcMar>
              <w:top w:w="35" w:type="dxa"/>
              <w:left w:w="35" w:type="dxa"/>
              <w:bottom w:w="35" w:type="dxa"/>
              <w:right w:w="35" w:type="dxa"/>
            </w:tcMar>
            <w:vAlign w:val="center"/>
            <w:hideMark/>
          </w:tcPr>
          <w:p w:rsidR="00AE70F1" w:rsidRPr="00AE70F1" w:rsidRDefault="00AE70F1" w:rsidP="00AE70F1">
            <w:pPr>
              <w:spacing w:before="100" w:beforeAutospacing="1" w:after="264" w:line="360" w:lineRule="auto"/>
              <w:rPr>
                <w:rFonts w:ascii="Times New Roman" w:eastAsia="Times New Roman" w:hAnsi="Times New Roman" w:cs="Times New Roman"/>
                <w:color w:val="1F2114"/>
              </w:rPr>
            </w:pPr>
            <w:r w:rsidRPr="00AE70F1">
              <w:rPr>
                <w:rFonts w:ascii="Calibri" w:eastAsia="Times New Roman" w:hAnsi="Calibri" w:cs="Calibri"/>
                <w:color w:val="1F2114"/>
              </w:rPr>
              <w:t>STYLE_DASHDOTDOT</w:t>
            </w:r>
          </w:p>
        </w:tc>
      </w:tr>
    </w:tbl>
    <w:p w:rsidR="00DC2EAB" w:rsidRDefault="00DC2EAB"/>
    <w:sectPr w:rsidR="00DC2EAB" w:rsidSect="00DC2EA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AE70F1"/>
    <w:rsid w:val="00305E06"/>
    <w:rsid w:val="0063773F"/>
    <w:rsid w:val="008B4675"/>
    <w:rsid w:val="009606F5"/>
    <w:rsid w:val="00AE70F1"/>
    <w:rsid w:val="00DC2EAB"/>
    <w:rsid w:val="00F813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E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E70F1"/>
    <w:pPr>
      <w:spacing w:before="100" w:beforeAutospacing="1" w:after="264" w:line="360" w:lineRule="auto"/>
    </w:pPr>
    <w:rPr>
      <w:rFonts w:ascii="Times New Roman" w:eastAsia="Times New Roman" w:hAnsi="Times New Roman" w:cs="Times New Roman"/>
      <w:sz w:val="24"/>
      <w:szCs w:val="24"/>
    </w:rPr>
  </w:style>
  <w:style w:type="paragraph" w:customStyle="1" w:styleId="western">
    <w:name w:val="western"/>
    <w:basedOn w:val="Normal"/>
    <w:rsid w:val="00AE70F1"/>
    <w:pPr>
      <w:spacing w:before="100" w:beforeAutospacing="1" w:after="264" w:line="36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24587748">
      <w:bodyDiv w:val="1"/>
      <w:marLeft w:val="0"/>
      <w:marRight w:val="0"/>
      <w:marTop w:val="0"/>
      <w:marBottom w:val="0"/>
      <w:divBdr>
        <w:top w:val="none" w:sz="0" w:space="0" w:color="auto"/>
        <w:left w:val="none" w:sz="0" w:space="0" w:color="auto"/>
        <w:bottom w:val="none" w:sz="0" w:space="0" w:color="auto"/>
        <w:right w:val="none" w:sz="0" w:space="0" w:color="auto"/>
      </w:divBdr>
      <w:divsChild>
        <w:div w:id="1104884368">
          <w:marLeft w:val="0"/>
          <w:marRight w:val="0"/>
          <w:marTop w:val="115"/>
          <w:marBottom w:val="461"/>
          <w:divBdr>
            <w:top w:val="none" w:sz="0" w:space="0" w:color="auto"/>
            <w:left w:val="none" w:sz="0" w:space="0" w:color="auto"/>
            <w:bottom w:val="none" w:sz="0" w:space="0" w:color="auto"/>
            <w:right w:val="none" w:sz="0" w:space="0" w:color="auto"/>
          </w:divBdr>
          <w:divsChild>
            <w:div w:id="616958001">
              <w:marLeft w:val="0"/>
              <w:marRight w:val="0"/>
              <w:marTop w:val="0"/>
              <w:marBottom w:val="0"/>
              <w:divBdr>
                <w:top w:val="none" w:sz="0" w:space="0" w:color="auto"/>
                <w:left w:val="none" w:sz="0" w:space="0" w:color="auto"/>
                <w:bottom w:val="none" w:sz="0" w:space="0" w:color="auto"/>
                <w:right w:val="none" w:sz="0" w:space="0" w:color="auto"/>
              </w:divBdr>
              <w:divsChild>
                <w:div w:id="464204150">
                  <w:marLeft w:val="0"/>
                  <w:marRight w:val="0"/>
                  <w:marTop w:val="0"/>
                  <w:marBottom w:val="0"/>
                  <w:divBdr>
                    <w:top w:val="none" w:sz="0" w:space="0" w:color="auto"/>
                    <w:left w:val="none" w:sz="0" w:space="0" w:color="auto"/>
                    <w:bottom w:val="none" w:sz="0" w:space="0" w:color="auto"/>
                    <w:right w:val="none" w:sz="0" w:space="0" w:color="auto"/>
                  </w:divBdr>
                  <w:divsChild>
                    <w:div w:id="869949107">
                      <w:marLeft w:val="0"/>
                      <w:marRight w:val="0"/>
                      <w:marTop w:val="0"/>
                      <w:marBottom w:val="576"/>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894</Words>
  <Characters>5097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TRADE</dc:creator>
  <cp:lastModifiedBy>TRADE</cp:lastModifiedBy>
  <cp:revision>2</cp:revision>
  <dcterms:created xsi:type="dcterms:W3CDTF">2013-12-18T01:43:00Z</dcterms:created>
  <dcterms:modified xsi:type="dcterms:W3CDTF">2013-12-18T01:43:00Z</dcterms:modified>
</cp:coreProperties>
</file>